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A8D6" w14:textId="77777777" w:rsidR="006A570D" w:rsidRDefault="006A570D" w:rsidP="006A570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330809"/>
      <w:bookmarkStart w:id="1" w:name="_Hlk64044322"/>
      <w:r>
        <w:rPr>
          <w:rFonts w:ascii="Arial" w:hAnsi="Arial" w:cs="Arial"/>
          <w:b/>
          <w:sz w:val="24"/>
          <w:szCs w:val="24"/>
        </w:rPr>
        <w:t>Increased adverse events following third dose of BNT162b2/Pfizer vaccine in those with previous COVID-19, but not with concurrent influenza vaccine.</w:t>
      </w:r>
    </w:p>
    <w:bookmarkEnd w:id="0"/>
    <w:p w14:paraId="0AFCD10B" w14:textId="77777777" w:rsidR="006A570D" w:rsidRDefault="006A570D" w:rsidP="006A570D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FEC486C" w14:textId="77777777" w:rsidR="006A570D" w:rsidRDefault="006A570D" w:rsidP="006A570D">
      <w:pPr>
        <w:spacing w:after="0" w:line="48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Rachael K. Raw (PhD)</w:t>
      </w:r>
      <w:r>
        <w:rPr>
          <w:rFonts w:ascii="Arial" w:hAnsi="Arial" w:cs="Arial"/>
          <w:color w:val="000000"/>
          <w:vertAlign w:val="superscript"/>
        </w:rPr>
        <w:t>1*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Jon Rees (MBBS)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and David R. Chadwick (PhD)</w:t>
      </w:r>
      <w:r>
        <w:rPr>
          <w:rFonts w:ascii="Arial" w:hAnsi="Arial" w:cs="Arial"/>
          <w:color w:val="000000"/>
          <w:vertAlign w:val="superscript"/>
        </w:rPr>
        <w:t>3</w:t>
      </w:r>
    </w:p>
    <w:p w14:paraId="46A31E44" w14:textId="77777777" w:rsidR="006A570D" w:rsidRDefault="006A570D" w:rsidP="006A570D">
      <w:pPr>
        <w:spacing w:line="240" w:lineRule="auto"/>
        <w:ind w:left="360" w:right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color w:val="000000"/>
          <w:sz w:val="20"/>
          <w:szCs w:val="20"/>
        </w:rPr>
        <w:t xml:space="preserve">School of Medicine and Health, Newcastle University, Newcastle upon Tyne, UK </w:t>
      </w:r>
    </w:p>
    <w:p w14:paraId="7ACCF808" w14:textId="77777777" w:rsidR="006A570D" w:rsidRDefault="006A570D" w:rsidP="006A570D">
      <w:pPr>
        <w:spacing w:line="240" w:lineRule="auto"/>
        <w:ind w:left="360" w:right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The School of Psychology, University of Sunderland, UK</w:t>
      </w:r>
    </w:p>
    <w:p w14:paraId="2454493D" w14:textId="77777777" w:rsidR="006A570D" w:rsidRDefault="006A570D" w:rsidP="006A570D">
      <w:pPr>
        <w:spacing w:line="240" w:lineRule="auto"/>
        <w:ind w:left="360"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Centre for Clinical Infection, James Cook University Hospital, Middlesbrough, UK</w:t>
      </w:r>
    </w:p>
    <w:bookmarkEnd w:id="1"/>
    <w:p w14:paraId="508A663A" w14:textId="77777777" w:rsidR="006A570D" w:rsidRDefault="006A570D" w:rsidP="006A570D">
      <w:pPr>
        <w:pStyle w:val="Footer"/>
        <w:spacing w:line="480" w:lineRule="auto"/>
        <w:ind w:left="360" w:right="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809A55" w14:textId="77777777" w:rsidR="006A570D" w:rsidRDefault="006A570D" w:rsidP="006A570D">
      <w:pPr>
        <w:pStyle w:val="Footer"/>
        <w:spacing w:line="480" w:lineRule="auto"/>
        <w:ind w:left="360" w:right="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* Corresponding author</w:t>
      </w:r>
    </w:p>
    <w:p w14:paraId="28AD91DC" w14:textId="77777777" w:rsidR="006A570D" w:rsidRDefault="006A570D" w:rsidP="006A570D">
      <w:pPr>
        <w:pStyle w:val="Footer"/>
        <w:tabs>
          <w:tab w:val="left" w:pos="720"/>
        </w:tabs>
        <w:spacing w:line="480" w:lineRule="auto"/>
        <w:ind w:left="360" w:right="2"/>
        <w:jc w:val="both"/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Rachael Kathleen Raw</w:t>
      </w:r>
    </w:p>
    <w:p w14:paraId="25C17CBD" w14:textId="77777777" w:rsidR="006A570D" w:rsidRDefault="006A570D" w:rsidP="006A570D">
      <w:pPr>
        <w:spacing w:line="480" w:lineRule="auto"/>
        <w:ind w:left="360" w:right="2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Email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link"/>
            <w:rFonts w:ascii="Arial" w:hAnsi="Arial" w:cs="Arial"/>
          </w:rPr>
          <w:t>Rachael.raw3@nhs.net</w:t>
        </w:r>
      </w:hyperlink>
    </w:p>
    <w:p w14:paraId="0ADB3402" w14:textId="77777777" w:rsidR="006A570D" w:rsidRDefault="006A570D" w:rsidP="006A570D">
      <w:pPr>
        <w:spacing w:line="480" w:lineRule="auto"/>
        <w:ind w:left="360" w:right="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Telephone</w:t>
      </w:r>
      <w:r>
        <w:rPr>
          <w:rFonts w:ascii="Arial" w:hAnsi="Arial" w:cs="Arial"/>
        </w:rPr>
        <w:t>: +447780652723</w:t>
      </w:r>
    </w:p>
    <w:p w14:paraId="1666DFEF" w14:textId="63EE9495" w:rsidR="006A570D" w:rsidRDefault="006A570D" w:rsidP="006A570D">
      <w:pPr>
        <w:pStyle w:val="Footer"/>
        <w:spacing w:line="480" w:lineRule="auto"/>
        <w:ind w:left="360"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anuscript type: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1E59">
        <w:rPr>
          <w:rFonts w:ascii="Arial" w:hAnsi="Arial" w:cs="Arial"/>
          <w:color w:val="000000" w:themeColor="text1"/>
          <w:sz w:val="22"/>
          <w:szCs w:val="22"/>
        </w:rPr>
        <w:t>Article</w:t>
      </w:r>
    </w:p>
    <w:p w14:paraId="03A997F0" w14:textId="77777777" w:rsidR="006A570D" w:rsidRDefault="006A570D" w:rsidP="006A570D">
      <w:pPr>
        <w:pStyle w:val="Footer"/>
        <w:spacing w:line="480" w:lineRule="auto"/>
        <w:ind w:left="360" w:right="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Key Words: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SARS-CoV-2; COVID-19; COVID-19 Vaccination; Vaccine-Associated Adverse Events; </w:t>
      </w:r>
      <w:r>
        <w:rPr>
          <w:rFonts w:ascii="Arial" w:hAnsi="Arial" w:cs="Arial"/>
        </w:rPr>
        <w:t>Long-COVID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; Vaccine Hesitancy; Influenza; Influenza Vaccination. </w:t>
      </w:r>
    </w:p>
    <w:p w14:paraId="7356750E" w14:textId="77777777" w:rsidR="006A570D" w:rsidRDefault="006A570D" w:rsidP="006A570D">
      <w:pPr>
        <w:pStyle w:val="Footer"/>
        <w:spacing w:line="480" w:lineRule="auto"/>
        <w:ind w:left="360" w:right="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Number of references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:  20</w:t>
      </w:r>
    </w:p>
    <w:p w14:paraId="56D5951E" w14:textId="77777777" w:rsidR="006A570D" w:rsidRDefault="006A570D" w:rsidP="006A570D">
      <w:pPr>
        <w:pStyle w:val="Footer"/>
        <w:spacing w:line="480" w:lineRule="auto"/>
        <w:ind w:left="360" w:right="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Number of figures: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2</w:t>
      </w:r>
    </w:p>
    <w:p w14:paraId="5AC683A0" w14:textId="7A3C1453" w:rsidR="006A570D" w:rsidRDefault="006A570D" w:rsidP="006A570D">
      <w:pPr>
        <w:pStyle w:val="Footer"/>
        <w:spacing w:line="480" w:lineRule="auto"/>
        <w:ind w:left="360" w:right="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Number of tables: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2</w:t>
      </w:r>
    </w:p>
    <w:p w14:paraId="6DE4BADF" w14:textId="6A68E411" w:rsidR="00A1216B" w:rsidRDefault="00A1216B" w:rsidP="006A570D">
      <w:pPr>
        <w:pStyle w:val="Footer"/>
        <w:spacing w:line="480" w:lineRule="auto"/>
        <w:ind w:left="360" w:right="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Information: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Raw data. </w:t>
      </w:r>
    </w:p>
    <w:p w14:paraId="60594C8C" w14:textId="77777777" w:rsidR="006A570D" w:rsidRDefault="006A570D" w:rsidP="00FB3F54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4427930F" w14:textId="77777777" w:rsidR="006A570D" w:rsidRDefault="006A570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7F603D70" w14:textId="77777777" w:rsidR="006A570D" w:rsidRPr="007E7C22" w:rsidRDefault="006A570D" w:rsidP="006A570D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7E7C22">
        <w:rPr>
          <w:rFonts w:ascii="Arial" w:hAnsi="Arial" w:cs="Arial"/>
          <w:b/>
          <w:color w:val="000000" w:themeColor="text1"/>
          <w:u w:val="single"/>
        </w:rPr>
        <w:lastRenderedPageBreak/>
        <w:t>Abstract</w:t>
      </w:r>
    </w:p>
    <w:p w14:paraId="5E1BD687" w14:textId="18F5DE3F" w:rsidR="006A570D" w:rsidRPr="007E7C22" w:rsidRDefault="006A570D" w:rsidP="006A570D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 w:rsidRPr="007E7C22">
        <w:rPr>
          <w:rFonts w:ascii="Arial" w:hAnsi="Arial" w:cs="Arial"/>
          <w:bCs/>
          <w:color w:val="000000" w:themeColor="text1"/>
        </w:rPr>
        <w:t xml:space="preserve">Prior </w:t>
      </w:r>
      <w:r>
        <w:rPr>
          <w:rFonts w:ascii="Arial" w:hAnsi="Arial" w:cs="Arial"/>
          <w:bCs/>
          <w:color w:val="000000" w:themeColor="text1"/>
        </w:rPr>
        <w:t>studies suggest that</w:t>
      </w:r>
      <w:r w:rsidRPr="007E7C2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a</w:t>
      </w:r>
      <w:r w:rsidRPr="007E7C22">
        <w:rPr>
          <w:rFonts w:ascii="Arial" w:hAnsi="Arial" w:cs="Arial"/>
          <w:bCs/>
          <w:color w:val="000000" w:themeColor="text1"/>
        </w:rPr>
        <w:t xml:space="preserve">dverse </w:t>
      </w:r>
      <w:r>
        <w:rPr>
          <w:rFonts w:ascii="Arial" w:hAnsi="Arial" w:cs="Arial"/>
          <w:bCs/>
          <w:color w:val="000000" w:themeColor="text1"/>
        </w:rPr>
        <w:t>e</w:t>
      </w:r>
      <w:r w:rsidRPr="007E7C22">
        <w:rPr>
          <w:rFonts w:ascii="Arial" w:hAnsi="Arial" w:cs="Arial"/>
          <w:bCs/>
          <w:color w:val="000000" w:themeColor="text1"/>
        </w:rPr>
        <w:t xml:space="preserve">vents (AEs) following doses one and two of BNT162b2/Pfizer vaccine </w:t>
      </w:r>
      <w:r>
        <w:rPr>
          <w:rFonts w:ascii="Arial" w:hAnsi="Arial" w:cs="Arial"/>
          <w:bCs/>
          <w:color w:val="000000" w:themeColor="text1"/>
        </w:rPr>
        <w:t xml:space="preserve">are </w:t>
      </w:r>
      <w:r w:rsidRPr="007E7C22">
        <w:rPr>
          <w:rFonts w:ascii="Arial" w:hAnsi="Arial" w:cs="Arial"/>
          <w:bCs/>
          <w:color w:val="000000" w:themeColor="text1"/>
        </w:rPr>
        <w:t xml:space="preserve">worse in those with a prior history of COVID-19. To establish whether this </w:t>
      </w:r>
      <w:r>
        <w:rPr>
          <w:rFonts w:ascii="Arial" w:hAnsi="Arial" w:cs="Arial"/>
          <w:bCs/>
          <w:color w:val="000000" w:themeColor="text1"/>
        </w:rPr>
        <w:t>outcome</w:t>
      </w:r>
      <w:r w:rsidRPr="007E7C2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applies</w:t>
      </w:r>
      <w:r w:rsidRPr="007E7C22">
        <w:rPr>
          <w:rFonts w:ascii="Arial" w:hAnsi="Arial" w:cs="Arial"/>
          <w:bCs/>
          <w:color w:val="000000" w:themeColor="text1"/>
        </w:rPr>
        <w:t xml:space="preserve"> to </w:t>
      </w:r>
      <w:r>
        <w:rPr>
          <w:rFonts w:ascii="Arial" w:hAnsi="Arial" w:cs="Arial"/>
          <w:bCs/>
          <w:color w:val="000000" w:themeColor="text1"/>
        </w:rPr>
        <w:t xml:space="preserve">a </w:t>
      </w:r>
      <w:r w:rsidRPr="007E7C22">
        <w:rPr>
          <w:rFonts w:ascii="Arial" w:hAnsi="Arial" w:cs="Arial"/>
          <w:bCs/>
          <w:color w:val="000000" w:themeColor="text1"/>
        </w:rPr>
        <w:t xml:space="preserve">third/booster dose, we conducted a </w:t>
      </w:r>
      <w:r>
        <w:rPr>
          <w:rFonts w:ascii="Arial" w:hAnsi="Arial" w:cs="Arial"/>
          <w:bCs/>
          <w:color w:val="000000" w:themeColor="text1"/>
        </w:rPr>
        <w:t>survey with</w:t>
      </w:r>
      <w:r w:rsidRPr="007E7C22">
        <w:rPr>
          <w:rFonts w:ascii="Arial" w:hAnsi="Arial" w:cs="Arial"/>
          <w:bCs/>
          <w:color w:val="000000" w:themeColor="text1"/>
        </w:rPr>
        <w:t xml:space="preserve"> 534 </w:t>
      </w:r>
      <w:r>
        <w:rPr>
          <w:rFonts w:ascii="Arial" w:hAnsi="Arial" w:cs="Arial"/>
          <w:bCs/>
          <w:color w:val="000000" w:themeColor="text1"/>
        </w:rPr>
        <w:t>healthcare workers (</w:t>
      </w:r>
      <w:r w:rsidRPr="007E7C22">
        <w:rPr>
          <w:rFonts w:ascii="Arial" w:hAnsi="Arial" w:cs="Arial"/>
          <w:bCs/>
          <w:color w:val="000000" w:themeColor="text1"/>
        </w:rPr>
        <w:t>HCW</w:t>
      </w:r>
      <w:r>
        <w:rPr>
          <w:rFonts w:ascii="Arial" w:hAnsi="Arial" w:cs="Arial"/>
          <w:bCs/>
          <w:color w:val="000000" w:themeColor="text1"/>
        </w:rPr>
        <w:t>)</w:t>
      </w:r>
      <w:r w:rsidRPr="007E7C22">
        <w:rPr>
          <w:rFonts w:ascii="Arial" w:hAnsi="Arial" w:cs="Arial"/>
          <w:bCs/>
          <w:color w:val="000000" w:themeColor="text1"/>
        </w:rPr>
        <w:t xml:space="preserve"> in Northeast England, </w:t>
      </w:r>
      <w:r>
        <w:rPr>
          <w:rFonts w:ascii="Arial" w:hAnsi="Arial" w:cs="Arial"/>
          <w:bCs/>
          <w:color w:val="000000" w:themeColor="text1"/>
        </w:rPr>
        <w:t>who reported</w:t>
      </w:r>
      <w:r w:rsidRPr="007E7C22">
        <w:rPr>
          <w:rFonts w:ascii="Arial" w:hAnsi="Arial" w:cs="Arial"/>
          <w:bCs/>
          <w:color w:val="000000" w:themeColor="text1"/>
        </w:rPr>
        <w:t xml:space="preserve"> AEs </w:t>
      </w:r>
      <w:r>
        <w:rPr>
          <w:rFonts w:ascii="Arial" w:hAnsi="Arial" w:cs="Arial"/>
          <w:bCs/>
          <w:color w:val="000000" w:themeColor="text1"/>
        </w:rPr>
        <w:t>following all three</w:t>
      </w:r>
      <w:r w:rsidRPr="007E7C22">
        <w:rPr>
          <w:rFonts w:ascii="Arial" w:hAnsi="Arial" w:cs="Arial"/>
          <w:bCs/>
          <w:color w:val="000000" w:themeColor="text1"/>
        </w:rPr>
        <w:t xml:space="preserve"> doses of BNT162b2/Pfizer vaccin</w:t>
      </w:r>
      <w:r>
        <w:rPr>
          <w:rFonts w:ascii="Arial" w:hAnsi="Arial" w:cs="Arial"/>
          <w:bCs/>
          <w:color w:val="000000" w:themeColor="text1"/>
        </w:rPr>
        <w:t>e</w:t>
      </w:r>
      <w:r w:rsidRPr="007E7C22">
        <w:rPr>
          <w:rFonts w:ascii="Arial" w:hAnsi="Arial" w:cs="Arial"/>
          <w:bCs/>
          <w:color w:val="000000" w:themeColor="text1"/>
        </w:rPr>
        <w:t xml:space="preserve">. We </w:t>
      </w:r>
      <w:r w:rsidR="007F4A27" w:rsidRPr="007E7C22">
        <w:rPr>
          <w:rFonts w:ascii="Arial" w:hAnsi="Arial" w:cs="Arial"/>
          <w:bCs/>
          <w:color w:val="000000" w:themeColor="text1"/>
        </w:rPr>
        <w:t>a</w:t>
      </w:r>
      <w:r w:rsidR="007F4A27">
        <w:rPr>
          <w:rFonts w:ascii="Arial" w:hAnsi="Arial" w:cs="Arial"/>
          <w:bCs/>
          <w:color w:val="000000" w:themeColor="text1"/>
        </w:rPr>
        <w:t>lso</w:t>
      </w:r>
      <w:r w:rsidRPr="007E7C22">
        <w:rPr>
          <w:rFonts w:ascii="Arial" w:hAnsi="Arial" w:cs="Arial"/>
          <w:bCs/>
          <w:color w:val="000000" w:themeColor="text1"/>
        </w:rPr>
        <w:t xml:space="preserve"> explored AEs associated with </w:t>
      </w:r>
      <w:r>
        <w:rPr>
          <w:rFonts w:ascii="Arial" w:hAnsi="Arial" w:cs="Arial"/>
          <w:bCs/>
          <w:color w:val="000000" w:themeColor="text1"/>
        </w:rPr>
        <w:t>concurrent</w:t>
      </w:r>
      <w:r w:rsidRPr="007E7C22">
        <w:rPr>
          <w:rFonts w:ascii="Arial" w:hAnsi="Arial" w:cs="Arial"/>
          <w:bCs/>
          <w:color w:val="000000" w:themeColor="text1"/>
        </w:rPr>
        <w:t xml:space="preserve"> seasonal influenza </w:t>
      </w:r>
      <w:r>
        <w:rPr>
          <w:rFonts w:ascii="Arial" w:hAnsi="Arial" w:cs="Arial"/>
          <w:bCs/>
          <w:color w:val="000000" w:themeColor="text1"/>
        </w:rPr>
        <w:t>immunisation</w:t>
      </w:r>
      <w:r w:rsidR="00845F1F">
        <w:rPr>
          <w:rFonts w:ascii="Arial" w:hAnsi="Arial" w:cs="Arial"/>
          <w:bCs/>
          <w:color w:val="000000" w:themeColor="text1"/>
        </w:rPr>
        <w:t xml:space="preserve">, </w:t>
      </w:r>
      <w:r w:rsidR="00845F1F" w:rsidRPr="00845F1F">
        <w:rPr>
          <w:rFonts w:ascii="Arial" w:hAnsi="Arial" w:cs="Arial"/>
          <w:bCs/>
          <w:color w:val="000000" w:themeColor="text1"/>
        </w:rPr>
        <w:t>in a subset of 492 HCWs</w:t>
      </w:r>
      <w:r w:rsidRPr="007E7C22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For all doses</w:t>
      </w:r>
      <w:r w:rsidRPr="007E7C22">
        <w:rPr>
          <w:rFonts w:ascii="Arial" w:hAnsi="Arial" w:cs="Arial"/>
          <w:bCs/>
          <w:color w:val="000000" w:themeColor="text1"/>
        </w:rPr>
        <w:t xml:space="preserve"> of BNT162b2/Pfizer vaccine there was a cluster of systemic AEs that were consistently worse in HCWs with a prior history of COVID-19. AEs were no worse in HCWs who received their third/booster dose within 7 days of the influenza jab</w:t>
      </w:r>
      <w:r>
        <w:rPr>
          <w:rFonts w:ascii="Arial" w:hAnsi="Arial" w:cs="Arial"/>
          <w:bCs/>
          <w:color w:val="000000" w:themeColor="text1"/>
        </w:rPr>
        <w:t>, rather than further apart</w:t>
      </w:r>
      <w:r w:rsidRPr="007E7C22">
        <w:rPr>
          <w:rFonts w:ascii="Arial" w:hAnsi="Arial" w:cs="Arial"/>
          <w:bCs/>
          <w:color w:val="000000" w:themeColor="text1"/>
        </w:rPr>
        <w:t xml:space="preserve">. Gender and the presence of </w:t>
      </w:r>
      <w:r>
        <w:rPr>
          <w:rFonts w:ascii="Arial" w:hAnsi="Arial" w:cs="Arial"/>
          <w:bCs/>
          <w:color w:val="000000" w:themeColor="text1"/>
        </w:rPr>
        <w:t>o</w:t>
      </w:r>
      <w:r w:rsidRPr="007E7C22">
        <w:rPr>
          <w:rFonts w:ascii="Arial" w:hAnsi="Arial" w:cs="Arial"/>
          <w:bCs/>
          <w:color w:val="000000" w:themeColor="text1"/>
        </w:rPr>
        <w:t xml:space="preserve">ngoing COVID-19 </w:t>
      </w:r>
      <w:r>
        <w:rPr>
          <w:rFonts w:ascii="Arial" w:hAnsi="Arial" w:cs="Arial"/>
          <w:bCs/>
          <w:color w:val="000000" w:themeColor="text1"/>
        </w:rPr>
        <w:t>s</w:t>
      </w:r>
      <w:r w:rsidRPr="007E7C22">
        <w:rPr>
          <w:rFonts w:ascii="Arial" w:hAnsi="Arial" w:cs="Arial"/>
          <w:bCs/>
          <w:color w:val="000000" w:themeColor="text1"/>
        </w:rPr>
        <w:t>ymptoms (OCS) had no effect on AEs associated with COVID-19 or influenza vaccination</w:t>
      </w:r>
      <w:r>
        <w:rPr>
          <w:rFonts w:ascii="Arial" w:hAnsi="Arial" w:cs="Arial"/>
          <w:bCs/>
          <w:color w:val="000000" w:themeColor="text1"/>
        </w:rPr>
        <w:t>, though younger HCWs experienced more AEs overall</w:t>
      </w:r>
      <w:r w:rsidRPr="007E7C22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 xml:space="preserve">Our findings have implications for vaccine hesitancy and immunisation protocols. </w:t>
      </w:r>
    </w:p>
    <w:p w14:paraId="3DB5C47A" w14:textId="77777777" w:rsidR="006A570D" w:rsidRDefault="006A570D" w:rsidP="00FB3F54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6D4E02B7" w14:textId="77777777" w:rsidR="006A570D" w:rsidRDefault="006A570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4AACE443" w14:textId="3EA57A34" w:rsidR="001B3973" w:rsidRPr="00FB3F54" w:rsidRDefault="00FB3F54" w:rsidP="00FB3F54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1. </w:t>
      </w:r>
      <w:r w:rsidR="004A515C" w:rsidRPr="00FB3F54">
        <w:rPr>
          <w:rFonts w:ascii="Arial" w:hAnsi="Arial" w:cs="Arial"/>
          <w:b/>
          <w:color w:val="000000" w:themeColor="text1"/>
        </w:rPr>
        <w:t>Introduction</w:t>
      </w:r>
      <w:r w:rsidR="003E5746" w:rsidRPr="00FB3F54">
        <w:rPr>
          <w:rFonts w:ascii="Arial" w:hAnsi="Arial" w:cs="Arial"/>
          <w:b/>
          <w:color w:val="000000" w:themeColor="text1"/>
        </w:rPr>
        <w:t xml:space="preserve"> </w:t>
      </w:r>
    </w:p>
    <w:p w14:paraId="31EA9201" w14:textId="64B29B80" w:rsidR="006233D4" w:rsidRPr="008506B0" w:rsidRDefault="008C1B51" w:rsidP="00FB3F54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 w:rsidRPr="008C1B51">
        <w:rPr>
          <w:rFonts w:ascii="Arial" w:hAnsi="Arial" w:cs="Arial"/>
          <w:bCs/>
          <w:color w:val="000000" w:themeColor="text1"/>
        </w:rPr>
        <w:t>Global vaccination efforts against SARS-CoV-2 began in late 2020, with BNT162b2/</w:t>
      </w:r>
      <w:proofErr w:type="gramStart"/>
      <w:r w:rsidRPr="008C1B51">
        <w:rPr>
          <w:rFonts w:ascii="Arial" w:hAnsi="Arial" w:cs="Arial"/>
          <w:bCs/>
          <w:color w:val="000000" w:themeColor="text1"/>
        </w:rPr>
        <w:t>Pfizer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1A4D24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2743C3">
        <w:rPr>
          <w:rFonts w:ascii="Arial" w:hAnsi="Arial" w:cs="Arial"/>
          <w:bCs/>
          <w:color w:val="000000" w:themeColor="text1"/>
        </w:rPr>
        <w:t xml:space="preserve">, </w:t>
      </w:r>
      <w:r w:rsidRPr="008C1B51">
        <w:rPr>
          <w:rFonts w:ascii="Arial" w:hAnsi="Arial" w:cs="Arial"/>
          <w:bCs/>
          <w:color w:val="000000" w:themeColor="text1"/>
        </w:rPr>
        <w:t>mRNA-1273/Moderna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>[</w:t>
      </w:r>
      <w:r w:rsidR="001A4D24">
        <w:rPr>
          <w:rFonts w:ascii="Arial" w:hAnsi="Arial" w:cs="Arial"/>
          <w:bCs/>
          <w:color w:val="000000" w:themeColor="text1"/>
          <w:vertAlign w:val="superscript"/>
        </w:rPr>
        <w:t>2</w:t>
      </w:r>
      <w:r w:rsidR="002743C3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2743C3">
        <w:rPr>
          <w:rFonts w:ascii="Arial" w:hAnsi="Arial" w:cs="Arial"/>
          <w:bCs/>
          <w:color w:val="000000" w:themeColor="text1"/>
        </w:rPr>
        <w:t xml:space="preserve">, and </w:t>
      </w:r>
      <w:r w:rsidR="002743C3" w:rsidRPr="002743C3">
        <w:rPr>
          <w:rFonts w:ascii="Arial" w:hAnsi="Arial" w:cs="Arial"/>
          <w:bCs/>
          <w:color w:val="000000" w:themeColor="text1"/>
        </w:rPr>
        <w:t>ChAdOx1/AstraZeneca</w:t>
      </w:r>
      <w:r w:rsidR="002743C3" w:rsidRPr="002743C3">
        <w:rPr>
          <w:rFonts w:ascii="Arial" w:hAnsi="Arial" w:cs="Arial"/>
          <w:bCs/>
          <w:color w:val="000000" w:themeColor="text1"/>
          <w:vertAlign w:val="superscript"/>
        </w:rPr>
        <w:t>[</w:t>
      </w:r>
      <w:r w:rsidR="001A4D24">
        <w:rPr>
          <w:rFonts w:ascii="Arial" w:hAnsi="Arial" w:cs="Arial"/>
          <w:bCs/>
          <w:color w:val="000000" w:themeColor="text1"/>
          <w:vertAlign w:val="superscript"/>
        </w:rPr>
        <w:t>3</w:t>
      </w:r>
      <w:r w:rsidR="002743C3" w:rsidRPr="002743C3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2743C3" w:rsidRPr="002743C3">
        <w:rPr>
          <w:rFonts w:ascii="Arial" w:hAnsi="Arial" w:cs="Arial"/>
          <w:bCs/>
          <w:color w:val="000000" w:themeColor="text1"/>
        </w:rPr>
        <w:t xml:space="preserve"> vaccine</w:t>
      </w:r>
      <w:r w:rsidRPr="008C1B51">
        <w:rPr>
          <w:rFonts w:ascii="Arial" w:hAnsi="Arial" w:cs="Arial"/>
          <w:bCs/>
          <w:color w:val="000000" w:themeColor="text1"/>
        </w:rPr>
        <w:t>s applied predominantly in the UK population</w:t>
      </w:r>
      <w:r w:rsidR="00FB3F54">
        <w:rPr>
          <w:rFonts w:ascii="Arial" w:hAnsi="Arial" w:cs="Arial"/>
          <w:bCs/>
          <w:color w:val="000000" w:themeColor="text1"/>
        </w:rPr>
        <w:t>.</w:t>
      </w:r>
      <w:r w:rsidR="008506B0">
        <w:rPr>
          <w:rFonts w:ascii="Arial" w:hAnsi="Arial" w:cs="Arial"/>
          <w:bCs/>
          <w:color w:val="000000" w:themeColor="text1"/>
        </w:rPr>
        <w:t xml:space="preserve"> </w:t>
      </w:r>
      <w:r w:rsidRPr="008C1B51">
        <w:rPr>
          <w:rFonts w:ascii="Arial" w:hAnsi="Arial" w:cs="Arial"/>
          <w:bCs/>
          <w:color w:val="000000" w:themeColor="text1"/>
        </w:rPr>
        <w:t>Healthcare Workers</w:t>
      </w:r>
      <w:r w:rsidR="008506B0">
        <w:rPr>
          <w:rFonts w:ascii="Arial" w:hAnsi="Arial" w:cs="Arial"/>
          <w:bCs/>
          <w:color w:val="000000" w:themeColor="text1"/>
        </w:rPr>
        <w:t xml:space="preserve"> </w:t>
      </w:r>
      <w:r w:rsidRPr="008C1B51">
        <w:rPr>
          <w:rFonts w:ascii="Arial" w:hAnsi="Arial" w:cs="Arial"/>
          <w:bCs/>
          <w:color w:val="000000" w:themeColor="text1"/>
        </w:rPr>
        <w:t>(HCWs)</w:t>
      </w:r>
      <w:r w:rsidR="008506B0">
        <w:rPr>
          <w:rFonts w:ascii="Arial" w:hAnsi="Arial" w:cs="Arial"/>
          <w:bCs/>
          <w:color w:val="000000" w:themeColor="text1"/>
        </w:rPr>
        <w:t xml:space="preserve"> have been a priority target</w:t>
      </w:r>
      <w:r w:rsidR="008F1744">
        <w:rPr>
          <w:rFonts w:ascii="Arial" w:hAnsi="Arial" w:cs="Arial"/>
          <w:bCs/>
          <w:color w:val="000000" w:themeColor="text1"/>
        </w:rPr>
        <w:t xml:space="preserve"> group</w:t>
      </w:r>
      <w:r w:rsidRPr="008C1B51">
        <w:rPr>
          <w:rFonts w:ascii="Arial" w:hAnsi="Arial" w:cs="Arial"/>
          <w:bCs/>
          <w:color w:val="000000" w:themeColor="text1"/>
        </w:rPr>
        <w:t xml:space="preserve">. Phase three trials </w:t>
      </w:r>
      <w:r w:rsidR="00A748C9">
        <w:rPr>
          <w:rFonts w:ascii="Arial" w:hAnsi="Arial" w:cs="Arial"/>
          <w:bCs/>
          <w:color w:val="000000" w:themeColor="text1"/>
        </w:rPr>
        <w:t>demonstrated</w:t>
      </w:r>
      <w:r w:rsidRPr="008C1B51">
        <w:rPr>
          <w:rFonts w:ascii="Arial" w:hAnsi="Arial" w:cs="Arial"/>
          <w:bCs/>
          <w:color w:val="000000" w:themeColor="text1"/>
        </w:rPr>
        <w:t xml:space="preserve"> general safety of these vaccines, but </w:t>
      </w:r>
      <w:r w:rsidR="008F1744">
        <w:rPr>
          <w:rFonts w:ascii="Arial" w:hAnsi="Arial" w:cs="Arial"/>
          <w:bCs/>
          <w:color w:val="000000" w:themeColor="text1"/>
        </w:rPr>
        <w:t>a</w:t>
      </w:r>
      <w:r w:rsidR="008F1744" w:rsidRPr="008C1B51">
        <w:rPr>
          <w:rFonts w:ascii="Arial" w:hAnsi="Arial" w:cs="Arial"/>
          <w:bCs/>
          <w:color w:val="000000" w:themeColor="text1"/>
        </w:rPr>
        <w:t xml:space="preserve">dverse </w:t>
      </w:r>
      <w:r w:rsidR="008F1744">
        <w:rPr>
          <w:rFonts w:ascii="Arial" w:hAnsi="Arial" w:cs="Arial"/>
          <w:bCs/>
          <w:color w:val="000000" w:themeColor="text1"/>
        </w:rPr>
        <w:t>e</w:t>
      </w:r>
      <w:r w:rsidR="008F1744" w:rsidRPr="008C1B51">
        <w:rPr>
          <w:rFonts w:ascii="Arial" w:hAnsi="Arial" w:cs="Arial"/>
          <w:bCs/>
          <w:color w:val="000000" w:themeColor="text1"/>
        </w:rPr>
        <w:t xml:space="preserve">vents </w:t>
      </w:r>
      <w:r w:rsidRPr="008C1B51">
        <w:rPr>
          <w:rFonts w:ascii="Arial" w:hAnsi="Arial" w:cs="Arial"/>
          <w:bCs/>
          <w:color w:val="000000" w:themeColor="text1"/>
        </w:rPr>
        <w:t>(AEs) ha</w:t>
      </w:r>
      <w:r w:rsidR="008506B0">
        <w:rPr>
          <w:rFonts w:ascii="Arial" w:hAnsi="Arial" w:cs="Arial"/>
          <w:bCs/>
          <w:color w:val="000000" w:themeColor="text1"/>
        </w:rPr>
        <w:t>ve</w:t>
      </w:r>
      <w:r w:rsidRPr="008C1B51">
        <w:rPr>
          <w:rFonts w:ascii="Arial" w:hAnsi="Arial" w:cs="Arial"/>
          <w:bCs/>
          <w:color w:val="000000" w:themeColor="text1"/>
        </w:rPr>
        <w:t xml:space="preserve"> been widely reported, albeit mostly mild-to-moderate</w:t>
      </w:r>
      <w:r w:rsidR="00670D2C">
        <w:rPr>
          <w:rFonts w:ascii="Arial" w:hAnsi="Arial" w:cs="Arial"/>
          <w:bCs/>
          <w:color w:val="000000" w:themeColor="text1"/>
        </w:rPr>
        <w:t xml:space="preserve"> in</w:t>
      </w:r>
      <w:r w:rsidRPr="008C1B5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nature </w:t>
      </w:r>
      <w:r w:rsidRPr="008C1B51">
        <w:rPr>
          <w:rFonts w:ascii="Arial" w:hAnsi="Arial" w:cs="Arial"/>
          <w:bCs/>
          <w:color w:val="000000" w:themeColor="text1"/>
        </w:rPr>
        <w:t xml:space="preserve">and short in </w:t>
      </w:r>
      <w:proofErr w:type="gramStart"/>
      <w:r w:rsidRPr="008C1B51">
        <w:rPr>
          <w:rFonts w:ascii="Arial" w:hAnsi="Arial" w:cs="Arial"/>
          <w:bCs/>
          <w:color w:val="000000" w:themeColor="text1"/>
        </w:rPr>
        <w:t>duration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1A4D24">
        <w:rPr>
          <w:rFonts w:ascii="Arial" w:hAnsi="Arial" w:cs="Arial"/>
          <w:bCs/>
          <w:color w:val="000000" w:themeColor="text1"/>
          <w:vertAlign w:val="superscript"/>
        </w:rPr>
        <w:t>4-10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>]</w:t>
      </w:r>
      <w:r w:rsidRPr="008C1B51">
        <w:rPr>
          <w:rFonts w:ascii="Arial" w:hAnsi="Arial" w:cs="Arial"/>
          <w:bCs/>
          <w:color w:val="000000" w:themeColor="text1"/>
        </w:rPr>
        <w:t xml:space="preserve">. </w:t>
      </w:r>
      <w:r w:rsidR="00A748C9">
        <w:rPr>
          <w:rFonts w:ascii="Arial" w:hAnsi="Arial" w:cs="Arial"/>
          <w:bCs/>
          <w:color w:val="000000" w:themeColor="text1"/>
        </w:rPr>
        <w:t>W</w:t>
      </w:r>
      <w:r w:rsidR="008506B0">
        <w:rPr>
          <w:rFonts w:ascii="Arial" w:hAnsi="Arial" w:cs="Arial"/>
          <w:bCs/>
          <w:color w:val="000000" w:themeColor="text1"/>
        </w:rPr>
        <w:t xml:space="preserve">e </w:t>
      </w:r>
      <w:r w:rsidR="00A748C9">
        <w:rPr>
          <w:rFonts w:ascii="Arial" w:hAnsi="Arial" w:cs="Arial"/>
          <w:bCs/>
          <w:color w:val="000000" w:themeColor="text1"/>
        </w:rPr>
        <w:t xml:space="preserve">have previously </w:t>
      </w:r>
      <w:r w:rsidRPr="008C1B51">
        <w:rPr>
          <w:rFonts w:ascii="Arial" w:hAnsi="Arial" w:cs="Arial"/>
          <w:bCs/>
          <w:color w:val="000000" w:themeColor="text1"/>
        </w:rPr>
        <w:t xml:space="preserve">demonstrated </w:t>
      </w:r>
      <w:r w:rsidR="007F4A27">
        <w:rPr>
          <w:rFonts w:ascii="Arial" w:hAnsi="Arial" w:cs="Arial"/>
          <w:bCs/>
          <w:color w:val="000000" w:themeColor="text1"/>
        </w:rPr>
        <w:t>an association</w:t>
      </w:r>
      <w:r w:rsidRPr="008C1B51">
        <w:rPr>
          <w:rFonts w:ascii="Arial" w:hAnsi="Arial" w:cs="Arial"/>
          <w:bCs/>
          <w:color w:val="000000" w:themeColor="text1"/>
        </w:rPr>
        <w:t xml:space="preserve"> between prior </w:t>
      </w:r>
      <w:r w:rsidR="00E95314">
        <w:rPr>
          <w:rFonts w:ascii="Arial" w:hAnsi="Arial" w:cs="Arial"/>
          <w:bCs/>
          <w:color w:val="000000" w:themeColor="text1"/>
        </w:rPr>
        <w:t>COVID-19</w:t>
      </w:r>
      <w:r w:rsidRPr="008C1B51">
        <w:rPr>
          <w:rFonts w:ascii="Arial" w:hAnsi="Arial" w:cs="Arial"/>
          <w:bCs/>
          <w:color w:val="000000" w:themeColor="text1"/>
        </w:rPr>
        <w:t xml:space="preserve"> </w:t>
      </w:r>
      <w:r w:rsidR="00FB3F54">
        <w:rPr>
          <w:rFonts w:ascii="Arial" w:hAnsi="Arial" w:cs="Arial"/>
          <w:bCs/>
          <w:color w:val="000000" w:themeColor="text1"/>
        </w:rPr>
        <w:t xml:space="preserve">infection </w:t>
      </w:r>
      <w:r w:rsidRPr="008C1B51">
        <w:rPr>
          <w:rFonts w:ascii="Arial" w:hAnsi="Arial" w:cs="Arial"/>
          <w:bCs/>
          <w:color w:val="000000" w:themeColor="text1"/>
        </w:rPr>
        <w:t xml:space="preserve">and increased AEs following </w:t>
      </w:r>
      <w:r w:rsidR="006233D4" w:rsidRPr="008C1B51">
        <w:rPr>
          <w:rFonts w:ascii="Arial" w:hAnsi="Arial" w:cs="Arial"/>
          <w:bCs/>
          <w:color w:val="000000" w:themeColor="text1"/>
        </w:rPr>
        <w:t>administration</w:t>
      </w:r>
      <w:r w:rsidRPr="008C1B51">
        <w:rPr>
          <w:rFonts w:ascii="Arial" w:hAnsi="Arial" w:cs="Arial"/>
          <w:bCs/>
          <w:color w:val="000000" w:themeColor="text1"/>
        </w:rPr>
        <w:t xml:space="preserve"> of</w:t>
      </w:r>
      <w:r w:rsidR="008506B0">
        <w:rPr>
          <w:rFonts w:ascii="Arial" w:hAnsi="Arial" w:cs="Arial"/>
          <w:bCs/>
          <w:color w:val="000000" w:themeColor="text1"/>
        </w:rPr>
        <w:t xml:space="preserve"> dose one of</w:t>
      </w:r>
      <w:r w:rsidRPr="008C1B51">
        <w:rPr>
          <w:rFonts w:ascii="Arial" w:hAnsi="Arial" w:cs="Arial"/>
          <w:bCs/>
          <w:color w:val="000000" w:themeColor="text1"/>
        </w:rPr>
        <w:t xml:space="preserve"> BNT162b2/Pfizer vaccine, but not after dose </w:t>
      </w:r>
      <w:proofErr w:type="gramStart"/>
      <w:r w:rsidRPr="008C1B51">
        <w:rPr>
          <w:rFonts w:ascii="Arial" w:hAnsi="Arial" w:cs="Arial"/>
          <w:bCs/>
          <w:color w:val="000000" w:themeColor="text1"/>
        </w:rPr>
        <w:t>two</w:t>
      </w:r>
      <w:r w:rsidR="00373032" w:rsidRPr="00373032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1A4D24">
        <w:rPr>
          <w:rFonts w:ascii="Arial" w:hAnsi="Arial" w:cs="Arial"/>
          <w:bCs/>
          <w:color w:val="000000" w:themeColor="text1"/>
          <w:vertAlign w:val="superscript"/>
        </w:rPr>
        <w:t>9,10</w:t>
      </w:r>
      <w:r w:rsidR="00373032" w:rsidRPr="00373032">
        <w:rPr>
          <w:rFonts w:ascii="Arial" w:hAnsi="Arial" w:cs="Arial"/>
          <w:bCs/>
          <w:color w:val="000000" w:themeColor="text1"/>
          <w:vertAlign w:val="superscript"/>
        </w:rPr>
        <w:t>]</w:t>
      </w:r>
      <w:r w:rsidRPr="008C1B51">
        <w:rPr>
          <w:rFonts w:ascii="Arial" w:hAnsi="Arial" w:cs="Arial"/>
          <w:bCs/>
          <w:color w:val="000000" w:themeColor="text1"/>
        </w:rPr>
        <w:t xml:space="preserve">. </w:t>
      </w:r>
      <w:r w:rsidR="008506B0">
        <w:rPr>
          <w:rFonts w:ascii="Arial" w:hAnsi="Arial" w:cs="Arial"/>
          <w:bCs/>
          <w:color w:val="000000" w:themeColor="text1"/>
        </w:rPr>
        <w:t xml:space="preserve"> The</w:t>
      </w:r>
      <w:r w:rsidRPr="008C1B51">
        <w:rPr>
          <w:rFonts w:ascii="Arial" w:hAnsi="Arial" w:cs="Arial"/>
          <w:bCs/>
          <w:color w:val="000000" w:themeColor="text1"/>
        </w:rPr>
        <w:t xml:space="preserve"> </w:t>
      </w:r>
      <w:r w:rsidR="006233D4" w:rsidRPr="008C1B51">
        <w:rPr>
          <w:rFonts w:ascii="Arial" w:hAnsi="Arial" w:cs="Arial"/>
          <w:bCs/>
          <w:color w:val="000000" w:themeColor="text1"/>
        </w:rPr>
        <w:t>presence</w:t>
      </w:r>
      <w:r w:rsidRPr="008C1B51">
        <w:rPr>
          <w:rFonts w:ascii="Arial" w:hAnsi="Arial" w:cs="Arial"/>
          <w:bCs/>
          <w:color w:val="000000" w:themeColor="text1"/>
        </w:rPr>
        <w:t xml:space="preserve"> of "</w:t>
      </w:r>
      <w:r w:rsidR="00F32304">
        <w:rPr>
          <w:rFonts w:ascii="Arial" w:hAnsi="Arial" w:cs="Arial"/>
          <w:bCs/>
          <w:color w:val="000000" w:themeColor="text1"/>
        </w:rPr>
        <w:t>o</w:t>
      </w:r>
      <w:r w:rsidR="00F32304" w:rsidRPr="008C1B51">
        <w:rPr>
          <w:rFonts w:ascii="Arial" w:hAnsi="Arial" w:cs="Arial"/>
          <w:bCs/>
          <w:color w:val="000000" w:themeColor="text1"/>
        </w:rPr>
        <w:t xml:space="preserve">ngoing </w:t>
      </w:r>
      <w:r w:rsidRPr="008C1B51">
        <w:rPr>
          <w:rFonts w:ascii="Arial" w:hAnsi="Arial" w:cs="Arial"/>
          <w:bCs/>
          <w:color w:val="000000" w:themeColor="text1"/>
        </w:rPr>
        <w:t xml:space="preserve">COVID-19 </w:t>
      </w:r>
      <w:r w:rsidR="00F32304">
        <w:rPr>
          <w:rFonts w:ascii="Arial" w:hAnsi="Arial" w:cs="Arial"/>
          <w:bCs/>
          <w:color w:val="000000" w:themeColor="text1"/>
        </w:rPr>
        <w:t>s</w:t>
      </w:r>
      <w:r w:rsidR="00F32304" w:rsidRPr="008C1B51">
        <w:rPr>
          <w:rFonts w:ascii="Arial" w:hAnsi="Arial" w:cs="Arial"/>
          <w:bCs/>
          <w:color w:val="000000" w:themeColor="text1"/>
        </w:rPr>
        <w:t>ymptoms</w:t>
      </w:r>
      <w:r w:rsidRPr="008C1B51">
        <w:rPr>
          <w:rFonts w:ascii="Arial" w:hAnsi="Arial" w:cs="Arial"/>
          <w:bCs/>
          <w:color w:val="000000" w:themeColor="text1"/>
        </w:rPr>
        <w:t xml:space="preserve">" (OCS; symptoms persisting from 4-12 </w:t>
      </w:r>
      <w:proofErr w:type="gramStart"/>
      <w:r w:rsidRPr="008C1B51">
        <w:rPr>
          <w:rFonts w:ascii="Arial" w:hAnsi="Arial" w:cs="Arial"/>
          <w:bCs/>
          <w:color w:val="000000" w:themeColor="text1"/>
        </w:rPr>
        <w:t>weeks)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1A4D24">
        <w:rPr>
          <w:rFonts w:ascii="Arial" w:hAnsi="Arial" w:cs="Arial"/>
          <w:bCs/>
          <w:color w:val="000000" w:themeColor="text1"/>
          <w:vertAlign w:val="superscript"/>
        </w:rPr>
        <w:t>11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 xml:space="preserve">] </w:t>
      </w:r>
      <w:r w:rsidRPr="008C1B51">
        <w:rPr>
          <w:rFonts w:ascii="Arial" w:hAnsi="Arial" w:cs="Arial"/>
          <w:bCs/>
          <w:color w:val="000000" w:themeColor="text1"/>
        </w:rPr>
        <w:t xml:space="preserve">was also associated with increased AEs after </w:t>
      </w:r>
      <w:r w:rsidR="008506B0">
        <w:rPr>
          <w:rFonts w:ascii="Arial" w:hAnsi="Arial" w:cs="Arial"/>
          <w:bCs/>
          <w:color w:val="000000" w:themeColor="text1"/>
        </w:rPr>
        <w:t>the second dose of</w:t>
      </w:r>
      <w:r w:rsidR="008506B0" w:rsidRPr="008506B0">
        <w:rPr>
          <w:rFonts w:ascii="Arial" w:hAnsi="Arial" w:cs="Arial"/>
          <w:bCs/>
          <w:color w:val="000000" w:themeColor="text1"/>
        </w:rPr>
        <w:t xml:space="preserve"> </w:t>
      </w:r>
      <w:r w:rsidR="008506B0" w:rsidRPr="008C1B51">
        <w:rPr>
          <w:rFonts w:ascii="Arial" w:hAnsi="Arial" w:cs="Arial"/>
          <w:bCs/>
          <w:color w:val="000000" w:themeColor="text1"/>
        </w:rPr>
        <w:t>BNT162b2/Pfizer vaccine</w:t>
      </w:r>
      <w:r w:rsidR="00373032" w:rsidRPr="00373032">
        <w:rPr>
          <w:rFonts w:ascii="Arial" w:hAnsi="Arial" w:cs="Arial"/>
          <w:bCs/>
          <w:color w:val="000000" w:themeColor="text1"/>
          <w:vertAlign w:val="superscript"/>
        </w:rPr>
        <w:t>[</w:t>
      </w:r>
      <w:r w:rsidR="001A4D24">
        <w:rPr>
          <w:rFonts w:ascii="Arial" w:hAnsi="Arial" w:cs="Arial"/>
          <w:bCs/>
          <w:color w:val="000000" w:themeColor="text1"/>
          <w:vertAlign w:val="superscript"/>
        </w:rPr>
        <w:t>9,10</w:t>
      </w:r>
      <w:r w:rsidR="00373032" w:rsidRPr="00373032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FB3F54">
        <w:rPr>
          <w:rFonts w:ascii="Arial" w:hAnsi="Arial" w:cs="Arial"/>
          <w:bCs/>
          <w:color w:val="000000" w:themeColor="text1"/>
        </w:rPr>
        <w:t xml:space="preserve">. </w:t>
      </w:r>
    </w:p>
    <w:p w14:paraId="1587142E" w14:textId="77777777" w:rsidR="006233D4" w:rsidRDefault="006233D4" w:rsidP="006233D4">
      <w:pPr>
        <w:spacing w:after="0" w:line="48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5CA95496" w14:textId="78CA3D06" w:rsidR="00FB3F54" w:rsidRDefault="006233D4" w:rsidP="00FB3F54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In late 2021, a ‘booster’ dose of COVID-19 vaccine was recommended, and as </w:t>
      </w:r>
      <w:r w:rsidRPr="006233D4">
        <w:rPr>
          <w:rFonts w:ascii="Arial" w:hAnsi="Arial" w:cs="Arial"/>
          <w:bCs/>
          <w:color w:val="000000" w:themeColor="text1"/>
        </w:rPr>
        <w:t xml:space="preserve">of May 2022, just under 40 million UK citizens had received </w:t>
      </w:r>
      <w:r w:rsidR="006832A9">
        <w:rPr>
          <w:rFonts w:ascii="Arial" w:hAnsi="Arial" w:cs="Arial"/>
          <w:bCs/>
          <w:color w:val="000000" w:themeColor="text1"/>
        </w:rPr>
        <w:t xml:space="preserve">this third </w:t>
      </w:r>
      <w:proofErr w:type="gramStart"/>
      <w:r w:rsidR="006832A9">
        <w:rPr>
          <w:rFonts w:ascii="Arial" w:hAnsi="Arial" w:cs="Arial"/>
          <w:bCs/>
          <w:color w:val="000000" w:themeColor="text1"/>
        </w:rPr>
        <w:t>dose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1A4D24">
        <w:rPr>
          <w:rFonts w:ascii="Arial" w:hAnsi="Arial" w:cs="Arial"/>
          <w:bCs/>
          <w:color w:val="000000" w:themeColor="text1"/>
          <w:vertAlign w:val="superscript"/>
        </w:rPr>
        <w:t>12</w:t>
      </w:r>
      <w:r w:rsidRPr="006233D4">
        <w:rPr>
          <w:rFonts w:ascii="Arial" w:hAnsi="Arial" w:cs="Arial"/>
          <w:bCs/>
          <w:color w:val="000000" w:themeColor="text1"/>
          <w:vertAlign w:val="superscript"/>
        </w:rPr>
        <w:t>]</w:t>
      </w:r>
      <w:r w:rsidRPr="006233D4">
        <w:rPr>
          <w:rFonts w:ascii="Arial" w:hAnsi="Arial" w:cs="Arial"/>
          <w:bCs/>
          <w:color w:val="000000" w:themeColor="text1"/>
        </w:rPr>
        <w:t>.</w:t>
      </w:r>
      <w:r w:rsidR="00670D2C">
        <w:rPr>
          <w:rFonts w:ascii="Arial" w:hAnsi="Arial" w:cs="Arial"/>
          <w:bCs/>
          <w:color w:val="000000" w:themeColor="text1"/>
        </w:rPr>
        <w:t xml:space="preserve"> To our knowledge, it is unknown whether the previously observed effects of factors such as COVID-19 history</w:t>
      </w:r>
      <w:r w:rsidR="00695F80">
        <w:rPr>
          <w:rFonts w:ascii="Arial" w:hAnsi="Arial" w:cs="Arial"/>
          <w:bCs/>
          <w:color w:val="000000" w:themeColor="text1"/>
        </w:rPr>
        <w:t xml:space="preserve"> </w:t>
      </w:r>
      <w:r w:rsidR="00670D2C">
        <w:rPr>
          <w:rFonts w:ascii="Arial" w:hAnsi="Arial" w:cs="Arial"/>
          <w:bCs/>
          <w:color w:val="000000" w:themeColor="text1"/>
        </w:rPr>
        <w:t xml:space="preserve">carry over to the booster dose. Furthermore, due to </w:t>
      </w:r>
      <w:r>
        <w:rPr>
          <w:rFonts w:ascii="Arial" w:hAnsi="Arial" w:cs="Arial"/>
          <w:bCs/>
          <w:color w:val="000000" w:themeColor="text1"/>
        </w:rPr>
        <w:t xml:space="preserve">the timing of booster vaccinations, many eligible </w:t>
      </w:r>
      <w:r w:rsidR="00650A9F">
        <w:rPr>
          <w:rFonts w:ascii="Arial" w:hAnsi="Arial" w:cs="Arial"/>
          <w:bCs/>
          <w:color w:val="000000" w:themeColor="text1"/>
        </w:rPr>
        <w:t>individuals</w:t>
      </w:r>
      <w:r>
        <w:rPr>
          <w:rFonts w:ascii="Arial" w:hAnsi="Arial" w:cs="Arial"/>
          <w:bCs/>
          <w:color w:val="000000" w:themeColor="text1"/>
        </w:rPr>
        <w:t xml:space="preserve">, particularly HCWs, were invited to receive their COVID-19 booster at the same time as their seasonal </w:t>
      </w:r>
      <w:r w:rsidR="00E95314">
        <w:rPr>
          <w:rFonts w:ascii="Arial" w:hAnsi="Arial" w:cs="Arial"/>
          <w:bCs/>
          <w:color w:val="000000" w:themeColor="text1"/>
        </w:rPr>
        <w:t>influenza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650A9F">
        <w:rPr>
          <w:rFonts w:ascii="Arial" w:hAnsi="Arial" w:cs="Arial"/>
          <w:bCs/>
          <w:color w:val="000000" w:themeColor="text1"/>
        </w:rPr>
        <w:t>jab</w:t>
      </w:r>
      <w:r w:rsidR="00670D2C">
        <w:rPr>
          <w:rFonts w:ascii="Arial" w:hAnsi="Arial" w:cs="Arial"/>
          <w:bCs/>
          <w:color w:val="000000" w:themeColor="text1"/>
        </w:rPr>
        <w:t xml:space="preserve">, which raises the question of whether concomitant </w:t>
      </w:r>
      <w:r w:rsidR="00E95314">
        <w:rPr>
          <w:rFonts w:ascii="Arial" w:hAnsi="Arial" w:cs="Arial"/>
          <w:bCs/>
          <w:color w:val="000000" w:themeColor="text1"/>
        </w:rPr>
        <w:t>influenza</w:t>
      </w:r>
      <w:r w:rsidR="00670D2C">
        <w:rPr>
          <w:rFonts w:ascii="Arial" w:hAnsi="Arial" w:cs="Arial"/>
          <w:bCs/>
          <w:color w:val="000000" w:themeColor="text1"/>
        </w:rPr>
        <w:t>/</w:t>
      </w:r>
      <w:r w:rsidR="008F1744" w:rsidRPr="001653F0">
        <w:rPr>
          <w:rFonts w:ascii="Arial" w:hAnsi="Arial" w:cs="Arial"/>
          <w:bCs/>
          <w:color w:val="000000" w:themeColor="text1"/>
        </w:rPr>
        <w:t xml:space="preserve">COVID-19 </w:t>
      </w:r>
      <w:r w:rsidR="00670D2C">
        <w:rPr>
          <w:rFonts w:ascii="Arial" w:hAnsi="Arial" w:cs="Arial"/>
          <w:bCs/>
          <w:color w:val="000000" w:themeColor="text1"/>
        </w:rPr>
        <w:t xml:space="preserve">vaccination may enhance AEs. </w:t>
      </w:r>
      <w:r w:rsidR="001653F0" w:rsidRPr="001653F0">
        <w:rPr>
          <w:rFonts w:ascii="Arial" w:hAnsi="Arial" w:cs="Arial"/>
          <w:bCs/>
          <w:color w:val="000000" w:themeColor="text1"/>
        </w:rPr>
        <w:t>Large trials</w:t>
      </w:r>
      <w:r w:rsidR="001653F0">
        <w:rPr>
          <w:rFonts w:ascii="Arial" w:hAnsi="Arial" w:cs="Arial"/>
          <w:bCs/>
          <w:color w:val="000000" w:themeColor="text1"/>
        </w:rPr>
        <w:t xml:space="preserve"> </w:t>
      </w:r>
      <w:r w:rsidR="00650A9F">
        <w:rPr>
          <w:rFonts w:ascii="Arial" w:hAnsi="Arial" w:cs="Arial"/>
          <w:bCs/>
          <w:color w:val="000000" w:themeColor="text1"/>
        </w:rPr>
        <w:t>have</w:t>
      </w:r>
      <w:r w:rsidR="00670D2C">
        <w:rPr>
          <w:rFonts w:ascii="Arial" w:hAnsi="Arial" w:cs="Arial"/>
          <w:bCs/>
          <w:color w:val="000000" w:themeColor="text1"/>
        </w:rPr>
        <w:t xml:space="preserve"> </w:t>
      </w:r>
      <w:r w:rsidR="00650A9F">
        <w:rPr>
          <w:rFonts w:ascii="Arial" w:hAnsi="Arial" w:cs="Arial"/>
          <w:bCs/>
          <w:color w:val="000000" w:themeColor="text1"/>
        </w:rPr>
        <w:t xml:space="preserve">shown </w:t>
      </w:r>
      <w:r w:rsidR="001653F0" w:rsidRPr="001653F0">
        <w:rPr>
          <w:rFonts w:ascii="Arial" w:hAnsi="Arial" w:cs="Arial"/>
          <w:bCs/>
          <w:color w:val="000000" w:themeColor="text1"/>
        </w:rPr>
        <w:t xml:space="preserve">that co-administration of </w:t>
      </w:r>
      <w:r w:rsidR="00E95314">
        <w:rPr>
          <w:rFonts w:ascii="Arial" w:hAnsi="Arial" w:cs="Arial"/>
          <w:bCs/>
          <w:color w:val="000000" w:themeColor="text1"/>
        </w:rPr>
        <w:t>influenza</w:t>
      </w:r>
      <w:r w:rsidR="00902667" w:rsidRPr="001653F0">
        <w:rPr>
          <w:rFonts w:ascii="Arial" w:hAnsi="Arial" w:cs="Arial"/>
          <w:bCs/>
          <w:color w:val="000000" w:themeColor="text1"/>
        </w:rPr>
        <w:t xml:space="preserve"> </w:t>
      </w:r>
      <w:r w:rsidR="001653F0" w:rsidRPr="001653F0">
        <w:rPr>
          <w:rFonts w:ascii="Arial" w:hAnsi="Arial" w:cs="Arial"/>
          <w:bCs/>
          <w:color w:val="000000" w:themeColor="text1"/>
        </w:rPr>
        <w:t xml:space="preserve">vaccine </w:t>
      </w:r>
      <w:r w:rsidR="00FB3F54">
        <w:rPr>
          <w:rFonts w:ascii="Arial" w:hAnsi="Arial" w:cs="Arial"/>
          <w:bCs/>
          <w:color w:val="000000" w:themeColor="text1"/>
        </w:rPr>
        <w:t>with the</w:t>
      </w:r>
      <w:r w:rsidR="001653F0">
        <w:rPr>
          <w:rFonts w:ascii="Arial" w:hAnsi="Arial" w:cs="Arial"/>
          <w:bCs/>
          <w:color w:val="000000" w:themeColor="text1"/>
        </w:rPr>
        <w:t xml:space="preserve"> second dose</w:t>
      </w:r>
      <w:r w:rsidR="001653F0" w:rsidRPr="001653F0">
        <w:rPr>
          <w:rFonts w:ascii="Arial" w:hAnsi="Arial" w:cs="Arial"/>
          <w:bCs/>
          <w:color w:val="000000" w:themeColor="text1"/>
        </w:rPr>
        <w:t xml:space="preserve"> of </w:t>
      </w:r>
      <w:r w:rsidR="00902667">
        <w:rPr>
          <w:rFonts w:ascii="Arial" w:hAnsi="Arial" w:cs="Arial"/>
          <w:bCs/>
          <w:color w:val="000000" w:themeColor="text1"/>
        </w:rPr>
        <w:t xml:space="preserve">a </w:t>
      </w:r>
      <w:r w:rsidR="001653F0" w:rsidRPr="001653F0">
        <w:rPr>
          <w:rFonts w:ascii="Arial" w:hAnsi="Arial" w:cs="Arial"/>
          <w:bCs/>
          <w:color w:val="000000" w:themeColor="text1"/>
        </w:rPr>
        <w:t>COVID-19 vaccination (</w:t>
      </w:r>
      <w:r w:rsidR="00670D2C">
        <w:rPr>
          <w:rFonts w:ascii="Arial" w:hAnsi="Arial" w:cs="Arial"/>
          <w:bCs/>
          <w:color w:val="000000" w:themeColor="text1"/>
        </w:rPr>
        <w:t xml:space="preserve">including </w:t>
      </w:r>
      <w:r w:rsidR="001653F0" w:rsidRPr="001653F0">
        <w:rPr>
          <w:rFonts w:ascii="Arial" w:hAnsi="Arial" w:cs="Arial"/>
          <w:bCs/>
          <w:color w:val="000000" w:themeColor="text1"/>
        </w:rPr>
        <w:t>NVX-CoV2373</w:t>
      </w:r>
      <w:r w:rsidR="001653F0" w:rsidRPr="001653F0">
        <w:rPr>
          <w:rFonts w:ascii="Arial" w:hAnsi="Arial" w:cs="Arial"/>
          <w:bCs/>
          <w:color w:val="000000" w:themeColor="text1"/>
          <w:vertAlign w:val="superscript"/>
        </w:rPr>
        <w:t>[</w:t>
      </w:r>
      <w:r w:rsidR="001A4D24">
        <w:rPr>
          <w:rFonts w:ascii="Arial" w:hAnsi="Arial" w:cs="Arial"/>
          <w:bCs/>
          <w:color w:val="000000" w:themeColor="text1"/>
          <w:vertAlign w:val="superscript"/>
        </w:rPr>
        <w:t>13</w:t>
      </w:r>
      <w:r w:rsidR="001653F0" w:rsidRPr="001653F0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1653F0" w:rsidRPr="001653F0">
        <w:rPr>
          <w:rFonts w:ascii="Arial" w:hAnsi="Arial" w:cs="Arial"/>
          <w:bCs/>
          <w:color w:val="000000" w:themeColor="text1"/>
        </w:rPr>
        <w:t>, ChAdOx1</w:t>
      </w:r>
      <w:r w:rsidR="001653F0" w:rsidRPr="001653F0">
        <w:rPr>
          <w:rFonts w:ascii="Arial" w:hAnsi="Arial" w:cs="Arial"/>
          <w:bCs/>
          <w:color w:val="000000" w:themeColor="text1"/>
          <w:vertAlign w:val="superscript"/>
        </w:rPr>
        <w:t>[</w:t>
      </w:r>
      <w:r w:rsidR="001A4D24">
        <w:rPr>
          <w:rFonts w:ascii="Arial" w:hAnsi="Arial" w:cs="Arial"/>
          <w:bCs/>
          <w:color w:val="000000" w:themeColor="text1"/>
          <w:vertAlign w:val="superscript"/>
        </w:rPr>
        <w:t>14</w:t>
      </w:r>
      <w:r w:rsidR="001653F0" w:rsidRPr="001653F0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1653F0" w:rsidRPr="001653F0">
        <w:rPr>
          <w:rFonts w:ascii="Arial" w:hAnsi="Arial" w:cs="Arial"/>
          <w:bCs/>
          <w:color w:val="000000" w:themeColor="text1"/>
        </w:rPr>
        <w:t xml:space="preserve"> or BNT162b2</w:t>
      </w:r>
      <w:r w:rsidR="001653F0" w:rsidRPr="001653F0">
        <w:rPr>
          <w:rFonts w:ascii="Arial" w:hAnsi="Arial" w:cs="Arial"/>
          <w:bCs/>
          <w:color w:val="000000" w:themeColor="text1"/>
          <w:vertAlign w:val="superscript"/>
        </w:rPr>
        <w:t>[1</w:t>
      </w:r>
      <w:r w:rsidR="0040130E">
        <w:rPr>
          <w:rFonts w:ascii="Arial" w:hAnsi="Arial" w:cs="Arial"/>
          <w:bCs/>
          <w:color w:val="000000" w:themeColor="text1"/>
          <w:vertAlign w:val="superscript"/>
        </w:rPr>
        <w:t>4</w:t>
      </w:r>
      <w:r w:rsidR="001A4D24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1653F0" w:rsidRPr="001653F0">
        <w:rPr>
          <w:rFonts w:ascii="Arial" w:hAnsi="Arial" w:cs="Arial"/>
          <w:bCs/>
          <w:color w:val="000000" w:themeColor="text1"/>
        </w:rPr>
        <w:t>) did not yield any worse AEs than when the COVID-19 vaccine was delivered on its own.</w:t>
      </w:r>
      <w:r w:rsidR="001653F0">
        <w:rPr>
          <w:rFonts w:ascii="Arial" w:hAnsi="Arial" w:cs="Arial"/>
          <w:bCs/>
          <w:color w:val="000000" w:themeColor="text1"/>
        </w:rPr>
        <w:t xml:space="preserve"> </w:t>
      </w:r>
      <w:r w:rsidR="00670D2C">
        <w:rPr>
          <w:rFonts w:ascii="Arial" w:hAnsi="Arial" w:cs="Arial"/>
          <w:bCs/>
          <w:color w:val="000000" w:themeColor="text1"/>
        </w:rPr>
        <w:t>No study has yet looked at concomitant administrat</w:t>
      </w:r>
      <w:r w:rsidR="00E258E1">
        <w:rPr>
          <w:rFonts w:ascii="Arial" w:hAnsi="Arial" w:cs="Arial"/>
          <w:bCs/>
          <w:color w:val="000000" w:themeColor="text1"/>
        </w:rPr>
        <w:t>ion</w:t>
      </w:r>
      <w:r w:rsidR="00670D2C">
        <w:rPr>
          <w:rFonts w:ascii="Arial" w:hAnsi="Arial" w:cs="Arial"/>
          <w:bCs/>
          <w:color w:val="000000" w:themeColor="text1"/>
        </w:rPr>
        <w:t xml:space="preserve"> in the context of the COVID-19 </w:t>
      </w:r>
      <w:r w:rsidR="001C6036">
        <w:rPr>
          <w:rFonts w:ascii="Arial" w:hAnsi="Arial" w:cs="Arial"/>
          <w:bCs/>
          <w:color w:val="000000" w:themeColor="text1"/>
        </w:rPr>
        <w:t>third/</w:t>
      </w:r>
      <w:r w:rsidR="00670D2C">
        <w:rPr>
          <w:rFonts w:ascii="Arial" w:hAnsi="Arial" w:cs="Arial"/>
          <w:bCs/>
          <w:color w:val="000000" w:themeColor="text1"/>
        </w:rPr>
        <w:t xml:space="preserve">booster dose. </w:t>
      </w:r>
    </w:p>
    <w:p w14:paraId="28062446" w14:textId="77777777" w:rsidR="00695F80" w:rsidRDefault="00695F80" w:rsidP="00FB3F54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</w:p>
    <w:p w14:paraId="632DCCB4" w14:textId="3709E84E" w:rsidR="00474B25" w:rsidRDefault="00474B25" w:rsidP="001212E8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primary aim of</w:t>
      </w:r>
      <w:r w:rsidR="00670D2C">
        <w:rPr>
          <w:rFonts w:ascii="Arial" w:hAnsi="Arial" w:cs="Arial"/>
          <w:bCs/>
          <w:color w:val="000000" w:themeColor="text1"/>
        </w:rPr>
        <w:t xml:space="preserve"> </w:t>
      </w:r>
      <w:r w:rsidR="001406DB">
        <w:rPr>
          <w:rFonts w:ascii="Arial" w:hAnsi="Arial" w:cs="Arial"/>
          <w:bCs/>
          <w:color w:val="000000" w:themeColor="text1"/>
        </w:rPr>
        <w:t>our present study</w:t>
      </w:r>
      <w:r w:rsidR="00670D2C">
        <w:rPr>
          <w:rFonts w:ascii="Arial" w:hAnsi="Arial" w:cs="Arial"/>
          <w:bCs/>
          <w:color w:val="000000" w:themeColor="text1"/>
        </w:rPr>
        <w:t xml:space="preserve"> was to explore the impact of </w:t>
      </w:r>
      <w:r>
        <w:rPr>
          <w:rFonts w:ascii="Arial" w:hAnsi="Arial" w:cs="Arial"/>
          <w:bCs/>
          <w:color w:val="000000" w:themeColor="text1"/>
        </w:rPr>
        <w:t>risk</w:t>
      </w:r>
      <w:r w:rsidR="00670D2C">
        <w:rPr>
          <w:rFonts w:ascii="Arial" w:hAnsi="Arial" w:cs="Arial"/>
          <w:bCs/>
          <w:color w:val="000000" w:themeColor="text1"/>
        </w:rPr>
        <w:t xml:space="preserve"> factors for vaccine-associated AEs following </w:t>
      </w:r>
      <w:r>
        <w:rPr>
          <w:rFonts w:ascii="Arial" w:hAnsi="Arial" w:cs="Arial"/>
          <w:bCs/>
          <w:color w:val="000000" w:themeColor="text1"/>
        </w:rPr>
        <w:t>the third</w:t>
      </w:r>
      <w:r w:rsidR="001C6036">
        <w:rPr>
          <w:rFonts w:ascii="Arial" w:hAnsi="Arial" w:cs="Arial"/>
          <w:bCs/>
          <w:color w:val="000000" w:themeColor="text1"/>
        </w:rPr>
        <w:t>/booster</w:t>
      </w:r>
      <w:r>
        <w:rPr>
          <w:rFonts w:ascii="Arial" w:hAnsi="Arial" w:cs="Arial"/>
          <w:bCs/>
          <w:color w:val="000000" w:themeColor="text1"/>
        </w:rPr>
        <w:t xml:space="preserve"> dose of</w:t>
      </w:r>
      <w:r w:rsidR="00670D2C">
        <w:rPr>
          <w:rFonts w:ascii="Arial" w:hAnsi="Arial" w:cs="Arial"/>
          <w:bCs/>
          <w:color w:val="000000" w:themeColor="text1"/>
        </w:rPr>
        <w:t xml:space="preserve"> </w:t>
      </w:r>
      <w:r w:rsidRPr="008C1B51">
        <w:rPr>
          <w:rFonts w:ascii="Arial" w:hAnsi="Arial" w:cs="Arial"/>
          <w:bCs/>
          <w:color w:val="000000" w:themeColor="text1"/>
        </w:rPr>
        <w:t xml:space="preserve">BNT162b2/Pfizer </w:t>
      </w:r>
      <w:r w:rsidR="00670D2C">
        <w:rPr>
          <w:rFonts w:ascii="Arial" w:hAnsi="Arial" w:cs="Arial"/>
          <w:bCs/>
          <w:color w:val="000000" w:themeColor="text1"/>
        </w:rPr>
        <w:t xml:space="preserve">vaccine in </w:t>
      </w:r>
      <w:r>
        <w:rPr>
          <w:rFonts w:ascii="Arial" w:hAnsi="Arial" w:cs="Arial"/>
          <w:bCs/>
          <w:color w:val="000000" w:themeColor="text1"/>
        </w:rPr>
        <w:t>HCWs. This included prior COVID-19 history, the presence of OCS, and HCWs’ age/gender.</w:t>
      </w:r>
      <w:r w:rsidR="00670D2C">
        <w:rPr>
          <w:rFonts w:ascii="Arial" w:hAnsi="Arial" w:cs="Arial"/>
          <w:bCs/>
          <w:color w:val="000000" w:themeColor="text1"/>
        </w:rPr>
        <w:t xml:space="preserve"> </w:t>
      </w:r>
      <w:r w:rsidR="00F32304">
        <w:rPr>
          <w:rFonts w:ascii="Arial" w:hAnsi="Arial" w:cs="Arial"/>
          <w:bCs/>
          <w:color w:val="000000" w:themeColor="text1"/>
        </w:rPr>
        <w:t>W</w:t>
      </w:r>
      <w:r w:rsidR="00513788">
        <w:rPr>
          <w:rFonts w:ascii="Arial" w:hAnsi="Arial" w:cs="Arial"/>
          <w:bCs/>
          <w:color w:val="000000" w:themeColor="text1"/>
        </w:rPr>
        <w:t xml:space="preserve">e </w:t>
      </w:r>
      <w:r w:rsidR="00F32304">
        <w:rPr>
          <w:rFonts w:ascii="Arial" w:hAnsi="Arial" w:cs="Arial"/>
          <w:bCs/>
          <w:color w:val="000000" w:themeColor="text1"/>
        </w:rPr>
        <w:t xml:space="preserve">also </w:t>
      </w:r>
      <w:r w:rsidR="00513788">
        <w:rPr>
          <w:rFonts w:ascii="Arial" w:hAnsi="Arial" w:cs="Arial"/>
          <w:bCs/>
          <w:color w:val="000000" w:themeColor="text1"/>
        </w:rPr>
        <w:t xml:space="preserve">examined whether prior COVID-19 history would lead to worse AEs following the </w:t>
      </w:r>
      <w:r w:rsidR="00695F80">
        <w:rPr>
          <w:rFonts w:ascii="Arial" w:hAnsi="Arial" w:cs="Arial"/>
          <w:bCs/>
          <w:color w:val="000000" w:themeColor="text1"/>
        </w:rPr>
        <w:t xml:space="preserve">influenza </w:t>
      </w:r>
      <w:r w:rsidR="00513788">
        <w:rPr>
          <w:rFonts w:ascii="Arial" w:hAnsi="Arial" w:cs="Arial"/>
          <w:bCs/>
          <w:color w:val="000000" w:themeColor="text1"/>
        </w:rPr>
        <w:lastRenderedPageBreak/>
        <w:t>jab. As a secondary aim</w:t>
      </w:r>
      <w:r w:rsidR="00670D2C"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 xml:space="preserve">in a small subgroup, we </w:t>
      </w:r>
      <w:r w:rsidR="00513788">
        <w:rPr>
          <w:rFonts w:ascii="Arial" w:hAnsi="Arial" w:cs="Arial"/>
          <w:bCs/>
          <w:color w:val="000000" w:themeColor="text1"/>
        </w:rPr>
        <w:t xml:space="preserve">also </w:t>
      </w:r>
      <w:r>
        <w:rPr>
          <w:rFonts w:ascii="Arial" w:hAnsi="Arial" w:cs="Arial"/>
          <w:bCs/>
          <w:color w:val="000000" w:themeColor="text1"/>
        </w:rPr>
        <w:t xml:space="preserve">compared AEs between those who received their </w:t>
      </w:r>
      <w:r w:rsidRPr="008C1B51">
        <w:rPr>
          <w:rFonts w:ascii="Arial" w:hAnsi="Arial" w:cs="Arial"/>
          <w:bCs/>
          <w:color w:val="000000" w:themeColor="text1"/>
        </w:rPr>
        <w:t xml:space="preserve">BNT162b2/Pfizer </w:t>
      </w:r>
      <w:r>
        <w:rPr>
          <w:rFonts w:ascii="Arial" w:hAnsi="Arial" w:cs="Arial"/>
          <w:bCs/>
          <w:color w:val="000000" w:themeColor="text1"/>
        </w:rPr>
        <w:t xml:space="preserve">booster around the time of their </w:t>
      </w:r>
      <w:r w:rsidR="00E95314">
        <w:rPr>
          <w:rFonts w:ascii="Arial" w:hAnsi="Arial" w:cs="Arial"/>
          <w:bCs/>
          <w:color w:val="000000" w:themeColor="text1"/>
        </w:rPr>
        <w:t>Influenza</w:t>
      </w:r>
      <w:r>
        <w:rPr>
          <w:rFonts w:ascii="Arial" w:hAnsi="Arial" w:cs="Arial"/>
          <w:bCs/>
          <w:color w:val="000000" w:themeColor="text1"/>
        </w:rPr>
        <w:t xml:space="preserve"> jab, and HCWs who had their vaccinations &gt; 7 days apart. </w:t>
      </w:r>
    </w:p>
    <w:p w14:paraId="7BD34C3C" w14:textId="77777777" w:rsidR="00BD26BB" w:rsidRDefault="00BD26BB" w:rsidP="001212E8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4F5EBE39" w14:textId="6F56BDCD" w:rsidR="001A10D3" w:rsidRDefault="004A515C" w:rsidP="001212E8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  <w:r w:rsidRPr="006C2748">
        <w:rPr>
          <w:rFonts w:ascii="Arial" w:hAnsi="Arial" w:cs="Arial"/>
          <w:b/>
          <w:color w:val="000000" w:themeColor="text1"/>
        </w:rPr>
        <w:t xml:space="preserve">2. Method </w:t>
      </w:r>
    </w:p>
    <w:p w14:paraId="6DBC46FF" w14:textId="37857258" w:rsidR="00B61C92" w:rsidRDefault="00B61C92" w:rsidP="001212E8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287C5AFD" w14:textId="75B7E200" w:rsidR="00B61C92" w:rsidRPr="00B61C92" w:rsidRDefault="00B61C92" w:rsidP="001212E8">
      <w:pPr>
        <w:spacing w:after="0" w:line="48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B61C92">
        <w:rPr>
          <w:rFonts w:ascii="Arial" w:hAnsi="Arial" w:cs="Arial"/>
          <w:i/>
          <w:iCs/>
          <w:color w:val="000000" w:themeColor="text1"/>
        </w:rPr>
        <w:t>Ethics Statement</w:t>
      </w:r>
    </w:p>
    <w:p w14:paraId="1580790E" w14:textId="48A97863" w:rsidR="00B61C92" w:rsidRDefault="00B61C92" w:rsidP="001212E8">
      <w:pPr>
        <w:spacing w:after="0" w:line="480" w:lineRule="auto"/>
        <w:jc w:val="both"/>
        <w:rPr>
          <w:rFonts w:ascii="Arial" w:hAnsi="Arial" w:cs="Arial"/>
          <w:iCs/>
          <w:color w:val="000000" w:themeColor="text1"/>
        </w:rPr>
      </w:pPr>
      <w:r w:rsidRPr="0053249B">
        <w:rPr>
          <w:rFonts w:ascii="Arial" w:hAnsi="Arial" w:cs="Arial"/>
          <w:color w:val="000000" w:themeColor="text1"/>
        </w:rPr>
        <w:t xml:space="preserve">All participants gave their written informed consent, and </w:t>
      </w:r>
      <w:r w:rsidRPr="0053249B">
        <w:rPr>
          <w:rFonts w:ascii="Arial" w:hAnsi="Arial" w:cs="Arial"/>
          <w:iCs/>
          <w:color w:val="000000" w:themeColor="text1"/>
        </w:rPr>
        <w:t xml:space="preserve">Cambridge East Research Ethics Committee </w:t>
      </w:r>
      <w:r w:rsidRPr="0053249B">
        <w:rPr>
          <w:rFonts w:ascii="Arial" w:hAnsi="Arial" w:cs="Arial"/>
          <w:color w:val="000000" w:themeColor="text1"/>
        </w:rPr>
        <w:t>approved this study</w:t>
      </w:r>
      <w:r>
        <w:rPr>
          <w:rFonts w:ascii="Arial" w:hAnsi="Arial" w:cs="Arial"/>
          <w:color w:val="000000" w:themeColor="text1"/>
        </w:rPr>
        <w:t xml:space="preserve"> (Ethics Ref</w:t>
      </w:r>
      <w:r w:rsidRPr="00AA0FCD">
        <w:rPr>
          <w:rFonts w:ascii="Arial" w:hAnsi="Arial" w:cs="Arial"/>
          <w:color w:val="000000" w:themeColor="text1"/>
        </w:rPr>
        <w:t xml:space="preserve">: </w:t>
      </w:r>
      <w:r w:rsidRPr="00A26E72">
        <w:rPr>
          <w:rFonts w:ascii="Arial" w:hAnsi="Arial" w:cs="Arial"/>
          <w:color w:val="000000" w:themeColor="text1"/>
        </w:rPr>
        <w:t>20/EE/0161</w:t>
      </w:r>
      <w:r>
        <w:rPr>
          <w:rFonts w:ascii="Arial" w:hAnsi="Arial" w:cs="Arial"/>
          <w:color w:val="000000" w:themeColor="text1"/>
        </w:rPr>
        <w:t>)</w:t>
      </w:r>
      <w:r w:rsidRPr="0053249B">
        <w:rPr>
          <w:rFonts w:ascii="Arial" w:hAnsi="Arial" w:cs="Arial"/>
          <w:color w:val="000000" w:themeColor="text1"/>
        </w:rPr>
        <w:t>, which was performed in accordance with the ethical standards laid down in the 1964 Declaration of Helsinki</w:t>
      </w:r>
      <w:r>
        <w:rPr>
          <w:rFonts w:ascii="Arial" w:hAnsi="Arial" w:cs="Arial"/>
          <w:color w:val="000000" w:themeColor="text1"/>
        </w:rPr>
        <w:t xml:space="preserve">. </w:t>
      </w:r>
    </w:p>
    <w:p w14:paraId="7606A125" w14:textId="02DEFBB5" w:rsidR="00B61C92" w:rsidRDefault="00B61C92" w:rsidP="001212E8">
      <w:pPr>
        <w:spacing w:after="0" w:line="480" w:lineRule="auto"/>
        <w:jc w:val="both"/>
        <w:rPr>
          <w:rFonts w:ascii="Arial" w:hAnsi="Arial" w:cs="Arial"/>
          <w:iCs/>
          <w:color w:val="000000" w:themeColor="text1"/>
        </w:rPr>
      </w:pPr>
    </w:p>
    <w:p w14:paraId="3F6AF26C" w14:textId="1A1C0EE7" w:rsidR="00B61C92" w:rsidRPr="00B61C92" w:rsidRDefault="00B61C92" w:rsidP="001212E8">
      <w:pPr>
        <w:spacing w:after="0" w:line="480" w:lineRule="auto"/>
        <w:jc w:val="both"/>
        <w:rPr>
          <w:rFonts w:ascii="Arial" w:hAnsi="Arial" w:cs="Arial"/>
          <w:i/>
          <w:color w:val="000000" w:themeColor="text1"/>
        </w:rPr>
      </w:pPr>
      <w:r w:rsidRPr="00B61C92">
        <w:rPr>
          <w:rFonts w:ascii="Arial" w:hAnsi="Arial" w:cs="Arial"/>
          <w:i/>
          <w:color w:val="000000" w:themeColor="text1"/>
        </w:rPr>
        <w:t xml:space="preserve">Participants </w:t>
      </w:r>
    </w:p>
    <w:p w14:paraId="21DFD8BB" w14:textId="77777777" w:rsidR="00B61C92" w:rsidRDefault="00845F1F" w:rsidP="0053249B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HCWs</w:t>
      </w:r>
      <w:r w:rsidDel="00250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recruited from three Northeast England hospitals, formed an opportunistic sample for this retrospective observational and descriptive study. </w:t>
      </w:r>
      <w:r>
        <w:rPr>
          <w:rFonts w:ascii="Arial" w:hAnsi="Arial" w:cs="Arial"/>
          <w:bCs/>
          <w:color w:val="000000" w:themeColor="text1"/>
        </w:rPr>
        <w:t>HCWs</w:t>
      </w:r>
      <w:r w:rsidDel="00250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invited via email, to complete an anonymous online survey, which captured their experience of AEs follo</w:t>
      </w:r>
      <w:r w:rsidRPr="00BD26BB">
        <w:rPr>
          <w:rFonts w:ascii="Arial" w:hAnsi="Arial" w:cs="Arial"/>
          <w:color w:val="000000" w:themeColor="text1"/>
        </w:rPr>
        <w:t xml:space="preserve">wing first, second and </w:t>
      </w:r>
      <w:r>
        <w:rPr>
          <w:rFonts w:ascii="Arial" w:hAnsi="Arial" w:cs="Arial"/>
          <w:color w:val="000000" w:themeColor="text1"/>
        </w:rPr>
        <w:t>third/booster</w:t>
      </w:r>
      <w:r w:rsidRPr="00BD26BB">
        <w:rPr>
          <w:rFonts w:ascii="Arial" w:hAnsi="Arial" w:cs="Arial"/>
          <w:color w:val="000000" w:themeColor="text1"/>
        </w:rPr>
        <w:t xml:space="preserve"> doses of </w:t>
      </w:r>
      <w:r w:rsidRPr="00BD26BB">
        <w:rPr>
          <w:rFonts w:ascii="Arial" w:hAnsi="Arial" w:cs="Arial"/>
          <w:iCs/>
          <w:color w:val="000000" w:themeColor="text1"/>
        </w:rPr>
        <w:t xml:space="preserve">the </w:t>
      </w:r>
      <w:r w:rsidRPr="00BD26BB">
        <w:rPr>
          <w:rFonts w:ascii="Arial" w:hAnsi="Arial" w:cs="Arial"/>
          <w:bCs/>
          <w:color w:val="000000" w:themeColor="text1"/>
        </w:rPr>
        <w:t>BNT162b2/Pfizer vaccine</w:t>
      </w:r>
      <w:r>
        <w:rPr>
          <w:rFonts w:ascii="Arial" w:hAnsi="Arial" w:cs="Arial"/>
          <w:bCs/>
          <w:color w:val="000000" w:themeColor="text1"/>
        </w:rPr>
        <w:t xml:space="preserve"> using structured and multiple-choice questions </w:t>
      </w:r>
      <w:r w:rsidR="00AF1058">
        <w:rPr>
          <w:rFonts w:ascii="Arial" w:hAnsi="Arial" w:cs="Arial"/>
          <w:bCs/>
          <w:color w:val="000000" w:themeColor="text1"/>
        </w:rPr>
        <w:t>The email was sent out to all HCWs, both clinical and non-clinical</w:t>
      </w:r>
      <w:r w:rsidR="00B76FBB">
        <w:rPr>
          <w:rFonts w:ascii="Arial" w:hAnsi="Arial" w:cs="Arial"/>
          <w:bCs/>
          <w:color w:val="000000" w:themeColor="text1"/>
        </w:rPr>
        <w:t>,</w:t>
      </w:r>
      <w:r w:rsidR="00AF1058">
        <w:rPr>
          <w:rFonts w:ascii="Arial" w:hAnsi="Arial" w:cs="Arial"/>
          <w:bCs/>
          <w:color w:val="000000" w:themeColor="text1"/>
        </w:rPr>
        <w:t xml:space="preserve"> using the weekly </w:t>
      </w:r>
      <w:r w:rsidR="00B76FBB">
        <w:rPr>
          <w:rFonts w:ascii="Arial" w:hAnsi="Arial" w:cs="Arial"/>
          <w:bCs/>
          <w:color w:val="000000" w:themeColor="text1"/>
        </w:rPr>
        <w:t>H</w:t>
      </w:r>
      <w:r w:rsidR="00AF1058">
        <w:rPr>
          <w:rFonts w:ascii="Arial" w:hAnsi="Arial" w:cs="Arial"/>
          <w:bCs/>
          <w:color w:val="000000" w:themeColor="text1"/>
        </w:rPr>
        <w:t xml:space="preserve">ospital </w:t>
      </w:r>
      <w:r w:rsidR="00B76FBB">
        <w:rPr>
          <w:rFonts w:ascii="Arial" w:hAnsi="Arial" w:cs="Arial"/>
          <w:bCs/>
          <w:color w:val="000000" w:themeColor="text1"/>
        </w:rPr>
        <w:t>C</w:t>
      </w:r>
      <w:r w:rsidR="00AF1058">
        <w:rPr>
          <w:rFonts w:ascii="Arial" w:hAnsi="Arial" w:cs="Arial"/>
          <w:bCs/>
          <w:color w:val="000000" w:themeColor="text1"/>
        </w:rPr>
        <w:t>ommunications service.</w:t>
      </w:r>
      <w:r w:rsidR="00B76FBB">
        <w:rPr>
          <w:rFonts w:ascii="Arial" w:hAnsi="Arial" w:cs="Arial"/>
          <w:bCs/>
          <w:color w:val="000000" w:themeColor="text1"/>
        </w:rPr>
        <w:t xml:space="preserve"> Those who had received all three doses of </w:t>
      </w:r>
      <w:r w:rsidR="00B76FBB" w:rsidRPr="006832A9">
        <w:rPr>
          <w:rFonts w:ascii="Arial" w:hAnsi="Arial" w:cs="Arial"/>
          <w:bCs/>
          <w:color w:val="000000" w:themeColor="text1"/>
        </w:rPr>
        <w:t>BNT162b2/Pfizer</w:t>
      </w:r>
      <w:r w:rsidR="00B76FBB">
        <w:rPr>
          <w:rFonts w:ascii="Arial" w:hAnsi="Arial" w:cs="Arial"/>
          <w:bCs/>
          <w:color w:val="000000" w:themeColor="text1"/>
        </w:rPr>
        <w:t xml:space="preserve"> vaccine were eligible to partake. </w:t>
      </w:r>
      <w:r w:rsidR="00AF1058">
        <w:rPr>
          <w:rFonts w:ascii="Arial" w:hAnsi="Arial" w:cs="Arial"/>
          <w:bCs/>
          <w:color w:val="000000" w:themeColor="text1"/>
        </w:rPr>
        <w:t xml:space="preserve"> </w:t>
      </w:r>
    </w:p>
    <w:p w14:paraId="724EF000" w14:textId="7889B425" w:rsidR="00B61C92" w:rsidRPr="00B61C92" w:rsidRDefault="00B61C92" w:rsidP="0053249B">
      <w:pPr>
        <w:spacing w:after="0" w:line="48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55D0DC29" w14:textId="08A993E7" w:rsidR="00B61C92" w:rsidRPr="00B61C92" w:rsidRDefault="00B61C92" w:rsidP="0053249B">
      <w:pPr>
        <w:spacing w:after="0" w:line="48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i/>
          <w:iCs/>
          <w:color w:val="000000" w:themeColor="text1"/>
        </w:rPr>
        <w:t>Materials and Procedure</w:t>
      </w:r>
    </w:p>
    <w:p w14:paraId="597A06F8" w14:textId="0E1571B7" w:rsidR="00BD26BB" w:rsidRPr="006832A9" w:rsidRDefault="002913CE" w:rsidP="00B61C92">
      <w:pPr>
        <w:spacing w:after="0" w:line="48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>AEs</w:t>
      </w:r>
      <w:r w:rsidRPr="00007BE6" w:rsidDel="002913CE">
        <w:rPr>
          <w:rFonts w:ascii="Arial" w:hAnsi="Arial" w:cs="Arial"/>
          <w:iCs/>
          <w:color w:val="000000" w:themeColor="text1"/>
        </w:rPr>
        <w:t xml:space="preserve"> </w:t>
      </w:r>
      <w:r w:rsidR="00007BE6" w:rsidRPr="00007BE6">
        <w:rPr>
          <w:rFonts w:ascii="Arial" w:hAnsi="Arial" w:cs="Arial"/>
          <w:iCs/>
          <w:color w:val="000000" w:themeColor="text1"/>
        </w:rPr>
        <w:t xml:space="preserve">were </w:t>
      </w:r>
      <w:r w:rsidR="006832A9">
        <w:rPr>
          <w:rFonts w:ascii="Arial" w:hAnsi="Arial" w:cs="Arial"/>
          <w:iCs/>
          <w:color w:val="000000" w:themeColor="text1"/>
        </w:rPr>
        <w:t>documented</w:t>
      </w:r>
      <w:r w:rsidR="00007BE6" w:rsidRPr="00007BE6">
        <w:rPr>
          <w:rFonts w:ascii="Arial" w:hAnsi="Arial" w:cs="Arial"/>
          <w:iCs/>
          <w:color w:val="000000" w:themeColor="text1"/>
        </w:rPr>
        <w:t xml:space="preserve"> using a modified version of the FDA</w:t>
      </w:r>
      <w:r w:rsidR="00007BE6" w:rsidRPr="00007BE6">
        <w:rPr>
          <w:rFonts w:ascii="Arial" w:hAnsi="Arial" w:cs="Arial"/>
          <w:color w:val="000000" w:themeColor="text1"/>
        </w:rPr>
        <w:t xml:space="preserve"> </w:t>
      </w:r>
      <w:r w:rsidR="00007BE6" w:rsidRPr="00007BE6">
        <w:rPr>
          <w:rFonts w:ascii="Arial" w:hAnsi="Arial" w:cs="Arial"/>
          <w:iCs/>
          <w:color w:val="000000" w:themeColor="text1"/>
        </w:rPr>
        <w:t>Toxicity Grading Scale</w:t>
      </w:r>
      <w:r w:rsidR="00250897">
        <w:rPr>
          <w:rFonts w:ascii="Arial" w:hAnsi="Arial" w:cs="Arial"/>
          <w:iCs/>
          <w:color w:val="000000" w:themeColor="text1"/>
        </w:rPr>
        <w:t>.</w:t>
      </w:r>
      <w:r w:rsidR="00007BE6" w:rsidRPr="00007BE6">
        <w:rPr>
          <w:rFonts w:ascii="Arial" w:hAnsi="Arial" w:cs="Arial"/>
          <w:iCs/>
          <w:color w:val="000000" w:themeColor="text1"/>
          <w:vertAlign w:val="superscript"/>
        </w:rPr>
        <w:t>[</w:t>
      </w:r>
      <w:r w:rsidR="001A4D24">
        <w:rPr>
          <w:rFonts w:ascii="Arial" w:hAnsi="Arial" w:cs="Arial"/>
          <w:iCs/>
          <w:color w:val="000000" w:themeColor="text1"/>
          <w:vertAlign w:val="superscript"/>
        </w:rPr>
        <w:t>15</w:t>
      </w:r>
      <w:r w:rsidR="00007BE6" w:rsidRPr="00007BE6">
        <w:rPr>
          <w:rFonts w:ascii="Arial" w:hAnsi="Arial" w:cs="Arial"/>
          <w:iCs/>
          <w:color w:val="000000" w:themeColor="text1"/>
          <w:vertAlign w:val="superscript"/>
        </w:rPr>
        <w:t>]</w:t>
      </w:r>
      <w:r w:rsidR="00007BE6" w:rsidRPr="00007BE6">
        <w:rPr>
          <w:rFonts w:ascii="Arial" w:hAnsi="Arial" w:cs="Arial"/>
          <w:iCs/>
          <w:color w:val="000000" w:themeColor="text1"/>
        </w:rPr>
        <w:t xml:space="preserve"> </w:t>
      </w:r>
      <w:r w:rsidR="00A214B2">
        <w:rPr>
          <w:rFonts w:ascii="Arial" w:hAnsi="Arial" w:cs="Arial"/>
          <w:iCs/>
          <w:color w:val="000000" w:themeColor="text1"/>
        </w:rPr>
        <w:t xml:space="preserve">as previously </w:t>
      </w:r>
      <w:proofErr w:type="gramStart"/>
      <w:r w:rsidR="00A214B2">
        <w:rPr>
          <w:rFonts w:ascii="Arial" w:hAnsi="Arial" w:cs="Arial"/>
          <w:iCs/>
          <w:color w:val="000000" w:themeColor="text1"/>
        </w:rPr>
        <w:t>described</w:t>
      </w:r>
      <w:r w:rsidR="00A214B2" w:rsidRPr="00373032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A214B2">
        <w:rPr>
          <w:rFonts w:ascii="Arial" w:hAnsi="Arial" w:cs="Arial"/>
          <w:bCs/>
          <w:color w:val="000000" w:themeColor="text1"/>
          <w:vertAlign w:val="superscript"/>
        </w:rPr>
        <w:t>9,10</w:t>
      </w:r>
      <w:r w:rsidR="00A214B2" w:rsidRPr="00373032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A214B2">
        <w:rPr>
          <w:rFonts w:ascii="Arial" w:hAnsi="Arial" w:cs="Arial"/>
          <w:iCs/>
          <w:color w:val="000000" w:themeColor="text1"/>
        </w:rPr>
        <w:t xml:space="preserve">. </w:t>
      </w:r>
      <w:r w:rsidR="00250897">
        <w:rPr>
          <w:rFonts w:ascii="Arial" w:hAnsi="Arial" w:cs="Arial"/>
          <w:bCs/>
          <w:color w:val="000000" w:themeColor="text1"/>
        </w:rPr>
        <w:t>HCWs</w:t>
      </w:r>
      <w:r w:rsidR="00250897" w:rsidDel="00250897">
        <w:rPr>
          <w:rFonts w:ascii="Arial" w:hAnsi="Arial" w:cs="Arial"/>
        </w:rPr>
        <w:t xml:space="preserve"> </w:t>
      </w:r>
      <w:r w:rsidR="00474B25">
        <w:rPr>
          <w:rFonts w:ascii="Arial" w:hAnsi="Arial" w:cs="Arial"/>
        </w:rPr>
        <w:t xml:space="preserve">indicated whether they had received </w:t>
      </w:r>
      <w:r w:rsidR="00A214B2">
        <w:rPr>
          <w:rFonts w:ascii="Arial" w:hAnsi="Arial" w:cs="Arial"/>
        </w:rPr>
        <w:t>i</w:t>
      </w:r>
      <w:r w:rsidR="00E95314">
        <w:rPr>
          <w:rFonts w:ascii="Arial" w:hAnsi="Arial" w:cs="Arial"/>
        </w:rPr>
        <w:t>nfluenza</w:t>
      </w:r>
      <w:r w:rsidR="00474B25">
        <w:rPr>
          <w:rFonts w:ascii="Arial" w:hAnsi="Arial" w:cs="Arial"/>
        </w:rPr>
        <w:t xml:space="preserve"> vaccine within 7 days of the COVID-19 booster dose. </w:t>
      </w:r>
      <w:r w:rsidR="00474B25">
        <w:rPr>
          <w:rFonts w:ascii="Arial" w:hAnsi="Arial" w:cs="Arial"/>
          <w:bCs/>
          <w:color w:val="000000" w:themeColor="text1"/>
        </w:rPr>
        <w:t xml:space="preserve">If HCWs did not receive </w:t>
      </w:r>
      <w:r w:rsidR="00A214B2">
        <w:rPr>
          <w:rFonts w:ascii="Arial" w:hAnsi="Arial" w:cs="Arial"/>
          <w:bCs/>
          <w:color w:val="000000" w:themeColor="text1"/>
        </w:rPr>
        <w:t>both</w:t>
      </w:r>
      <w:r w:rsidR="007334D0">
        <w:rPr>
          <w:rFonts w:ascii="Arial" w:hAnsi="Arial" w:cs="Arial"/>
          <w:bCs/>
          <w:color w:val="000000" w:themeColor="text1"/>
        </w:rPr>
        <w:t xml:space="preserve"> vaccinations </w:t>
      </w:r>
      <w:r w:rsidR="00474B25">
        <w:rPr>
          <w:rFonts w:ascii="Arial" w:hAnsi="Arial" w:cs="Arial"/>
          <w:bCs/>
          <w:color w:val="000000" w:themeColor="text1"/>
        </w:rPr>
        <w:t xml:space="preserve">within this time interval, they were also asked to describe AEs following the </w:t>
      </w:r>
      <w:r w:rsidR="00A214B2">
        <w:rPr>
          <w:rFonts w:ascii="Arial" w:hAnsi="Arial" w:cs="Arial"/>
          <w:bCs/>
          <w:color w:val="000000" w:themeColor="text1"/>
        </w:rPr>
        <w:t xml:space="preserve">influenza </w:t>
      </w:r>
      <w:r w:rsidR="00474B25">
        <w:rPr>
          <w:rFonts w:ascii="Arial" w:hAnsi="Arial" w:cs="Arial"/>
          <w:bCs/>
          <w:color w:val="000000" w:themeColor="text1"/>
        </w:rPr>
        <w:t>vaccine.</w:t>
      </w:r>
      <w:r w:rsidR="00474B25">
        <w:rPr>
          <w:rFonts w:ascii="Arial" w:hAnsi="Arial" w:cs="Arial"/>
          <w:iCs/>
          <w:color w:val="000000" w:themeColor="text1"/>
        </w:rPr>
        <w:t xml:space="preserve"> </w:t>
      </w:r>
      <w:r w:rsidR="00007BE6" w:rsidRPr="00007BE6">
        <w:rPr>
          <w:rFonts w:ascii="Arial" w:hAnsi="Arial" w:cs="Arial"/>
          <w:iCs/>
          <w:color w:val="000000" w:themeColor="text1"/>
        </w:rPr>
        <w:t xml:space="preserve">Prior COVID-19 history </w:t>
      </w:r>
      <w:r w:rsidR="007334D0">
        <w:rPr>
          <w:rFonts w:ascii="Arial" w:hAnsi="Arial" w:cs="Arial"/>
          <w:iCs/>
          <w:color w:val="000000" w:themeColor="text1"/>
        </w:rPr>
        <w:t>was classed as positive for HCWs with</w:t>
      </w:r>
      <w:r w:rsidR="00007BE6" w:rsidRPr="00007BE6">
        <w:rPr>
          <w:rFonts w:ascii="Arial" w:hAnsi="Arial" w:cs="Arial"/>
          <w:iCs/>
          <w:color w:val="000000" w:themeColor="text1"/>
        </w:rPr>
        <w:t xml:space="preserve"> </w:t>
      </w:r>
      <w:r w:rsidR="007334D0">
        <w:rPr>
          <w:rFonts w:ascii="Arial" w:hAnsi="Arial" w:cs="Arial"/>
          <w:iCs/>
          <w:color w:val="000000" w:themeColor="text1"/>
        </w:rPr>
        <w:t>self-reported</w:t>
      </w:r>
      <w:r w:rsidR="00007BE6" w:rsidRPr="00007BE6">
        <w:rPr>
          <w:rFonts w:ascii="Arial" w:hAnsi="Arial" w:cs="Arial"/>
          <w:iCs/>
          <w:color w:val="000000" w:themeColor="text1"/>
        </w:rPr>
        <w:t xml:space="preserve"> positive</w:t>
      </w:r>
      <w:r w:rsidR="007334D0">
        <w:rPr>
          <w:rFonts w:ascii="Arial" w:hAnsi="Arial" w:cs="Arial"/>
          <w:iCs/>
          <w:color w:val="000000" w:themeColor="text1"/>
        </w:rPr>
        <w:t xml:space="preserve"> </w:t>
      </w:r>
      <w:r w:rsidR="00007BE6" w:rsidRPr="00007BE6">
        <w:rPr>
          <w:rFonts w:ascii="Arial" w:hAnsi="Arial" w:cs="Arial"/>
          <w:iCs/>
          <w:color w:val="000000" w:themeColor="text1"/>
        </w:rPr>
        <w:t xml:space="preserve">PCR </w:t>
      </w:r>
      <w:r w:rsidR="00250897">
        <w:rPr>
          <w:rFonts w:ascii="Arial" w:hAnsi="Arial" w:cs="Arial"/>
          <w:iCs/>
          <w:color w:val="000000" w:themeColor="text1"/>
        </w:rPr>
        <w:t>and/or</w:t>
      </w:r>
      <w:r w:rsidR="00007BE6" w:rsidRPr="00007BE6">
        <w:rPr>
          <w:rFonts w:ascii="Arial" w:hAnsi="Arial" w:cs="Arial"/>
          <w:iCs/>
          <w:color w:val="000000" w:themeColor="text1"/>
        </w:rPr>
        <w:t xml:space="preserve"> </w:t>
      </w:r>
      <w:r w:rsidR="007334D0">
        <w:rPr>
          <w:rFonts w:ascii="Arial" w:hAnsi="Arial" w:cs="Arial"/>
          <w:iCs/>
          <w:color w:val="000000" w:themeColor="text1"/>
        </w:rPr>
        <w:t xml:space="preserve">COVID-19 </w:t>
      </w:r>
      <w:r w:rsidR="007334D0" w:rsidRPr="006832A9">
        <w:rPr>
          <w:rFonts w:ascii="Arial" w:hAnsi="Arial" w:cs="Arial"/>
          <w:iCs/>
          <w:color w:val="000000" w:themeColor="text1"/>
        </w:rPr>
        <w:t>test(s).</w:t>
      </w:r>
      <w:r w:rsidR="006832A9" w:rsidRPr="006832A9">
        <w:rPr>
          <w:rFonts w:ascii="Arial" w:hAnsi="Arial" w:cs="Arial"/>
          <w:iCs/>
          <w:color w:val="000000" w:themeColor="text1"/>
        </w:rPr>
        <w:t xml:space="preserve"> </w:t>
      </w:r>
      <w:r w:rsidR="00E95314" w:rsidRPr="006832A9">
        <w:rPr>
          <w:rFonts w:ascii="Arial" w:hAnsi="Arial" w:cs="Arial"/>
          <w:color w:val="000000" w:themeColor="text1"/>
        </w:rPr>
        <w:t>The number of moderate</w:t>
      </w:r>
      <w:r w:rsidR="004420A0" w:rsidRPr="006832A9">
        <w:rPr>
          <w:rFonts w:ascii="Arial" w:hAnsi="Arial" w:cs="Arial"/>
          <w:color w:val="000000" w:themeColor="text1"/>
        </w:rPr>
        <w:t>-to-</w:t>
      </w:r>
      <w:r w:rsidR="00E95314" w:rsidRPr="006832A9">
        <w:rPr>
          <w:rFonts w:ascii="Arial" w:hAnsi="Arial" w:cs="Arial"/>
          <w:color w:val="000000" w:themeColor="text1"/>
        </w:rPr>
        <w:t xml:space="preserve">severe </w:t>
      </w:r>
      <w:r w:rsidR="006832A9">
        <w:rPr>
          <w:rFonts w:ascii="Arial" w:hAnsi="Arial" w:cs="Arial"/>
          <w:color w:val="000000" w:themeColor="text1"/>
        </w:rPr>
        <w:t>AEs</w:t>
      </w:r>
      <w:r w:rsidR="00E95314" w:rsidRPr="006832A9">
        <w:rPr>
          <w:rFonts w:ascii="Arial" w:hAnsi="Arial" w:cs="Arial"/>
          <w:color w:val="000000" w:themeColor="text1"/>
        </w:rPr>
        <w:t xml:space="preserve"> persisting &gt;24hr</w:t>
      </w:r>
      <w:r w:rsidR="00B31AE1" w:rsidRPr="006832A9">
        <w:rPr>
          <w:rFonts w:ascii="Arial" w:hAnsi="Arial" w:cs="Arial"/>
          <w:color w:val="000000" w:themeColor="text1"/>
        </w:rPr>
        <w:t xml:space="preserve"> </w:t>
      </w:r>
      <w:r w:rsidR="00E95314" w:rsidRPr="006832A9">
        <w:rPr>
          <w:rFonts w:ascii="Arial" w:hAnsi="Arial" w:cs="Arial"/>
          <w:color w:val="000000" w:themeColor="text1"/>
        </w:rPr>
        <w:t xml:space="preserve">were calculated for doses one, two and three of </w:t>
      </w:r>
      <w:r w:rsidR="00E95314" w:rsidRPr="006832A9">
        <w:rPr>
          <w:rFonts w:ascii="Arial" w:hAnsi="Arial" w:cs="Arial"/>
          <w:bCs/>
          <w:color w:val="000000" w:themeColor="text1"/>
        </w:rPr>
        <w:t xml:space="preserve">BNT162b2/Pfizer, and for </w:t>
      </w:r>
      <w:r w:rsidR="00250897" w:rsidRPr="006832A9">
        <w:rPr>
          <w:rFonts w:ascii="Arial" w:hAnsi="Arial" w:cs="Arial"/>
          <w:bCs/>
          <w:color w:val="000000" w:themeColor="text1"/>
        </w:rPr>
        <w:t xml:space="preserve">influenza </w:t>
      </w:r>
      <w:r w:rsidR="00E95314" w:rsidRPr="006832A9">
        <w:rPr>
          <w:rFonts w:ascii="Arial" w:hAnsi="Arial" w:cs="Arial"/>
          <w:bCs/>
          <w:color w:val="000000" w:themeColor="text1"/>
        </w:rPr>
        <w:t xml:space="preserve">where it was not </w:t>
      </w:r>
      <w:r w:rsidR="00E95314" w:rsidRPr="006832A9">
        <w:rPr>
          <w:rFonts w:ascii="Arial" w:hAnsi="Arial" w:cs="Arial"/>
          <w:bCs/>
          <w:color w:val="000000" w:themeColor="text1"/>
        </w:rPr>
        <w:lastRenderedPageBreak/>
        <w:t>administered concomitantly</w:t>
      </w:r>
      <w:r w:rsidR="00E95314" w:rsidRPr="006832A9">
        <w:rPr>
          <w:rFonts w:ascii="Arial" w:hAnsi="Arial" w:cs="Arial"/>
          <w:color w:val="000000" w:themeColor="text1"/>
        </w:rPr>
        <w:t xml:space="preserve">. For </w:t>
      </w:r>
      <w:r w:rsidR="00E95314" w:rsidRPr="006832A9">
        <w:rPr>
          <w:rFonts w:ascii="Arial" w:hAnsi="Arial" w:cs="Arial"/>
          <w:bCs/>
          <w:color w:val="000000" w:themeColor="text1"/>
        </w:rPr>
        <w:t xml:space="preserve">BNT162b2/Pfizer doses one and two, </w:t>
      </w:r>
      <w:r w:rsidR="006832A9">
        <w:rPr>
          <w:rFonts w:ascii="Arial" w:hAnsi="Arial" w:cs="Arial"/>
          <w:color w:val="000000" w:themeColor="text1"/>
        </w:rPr>
        <w:t>AEs</w:t>
      </w:r>
      <w:r w:rsidR="00E95314" w:rsidRPr="006832A9">
        <w:rPr>
          <w:rFonts w:ascii="Arial" w:hAnsi="Arial" w:cs="Arial"/>
          <w:color w:val="000000" w:themeColor="text1"/>
        </w:rPr>
        <w:t xml:space="preserve"> were only counted as moderate</w:t>
      </w:r>
      <w:r w:rsidR="00A214B2" w:rsidRPr="006832A9">
        <w:rPr>
          <w:rFonts w:ascii="Arial" w:hAnsi="Arial" w:cs="Arial"/>
          <w:color w:val="000000" w:themeColor="text1"/>
        </w:rPr>
        <w:t>/</w:t>
      </w:r>
      <w:r w:rsidR="00E95314" w:rsidRPr="006832A9">
        <w:rPr>
          <w:rFonts w:ascii="Arial" w:hAnsi="Arial" w:cs="Arial"/>
          <w:color w:val="000000" w:themeColor="text1"/>
        </w:rPr>
        <w:t xml:space="preserve">severe if they were rated as “similar or worse than my current </w:t>
      </w:r>
      <w:r w:rsidR="006832A9">
        <w:rPr>
          <w:rFonts w:ascii="Arial" w:hAnsi="Arial" w:cs="Arial"/>
          <w:color w:val="000000" w:themeColor="text1"/>
        </w:rPr>
        <w:t>symptoms</w:t>
      </w:r>
      <w:r w:rsidR="00E95314" w:rsidRPr="006832A9">
        <w:rPr>
          <w:rFonts w:ascii="Arial" w:hAnsi="Arial" w:cs="Arial"/>
          <w:color w:val="000000" w:themeColor="text1"/>
        </w:rPr>
        <w:t xml:space="preserve">”. </w:t>
      </w:r>
      <w:r w:rsidR="00BD26BB" w:rsidRPr="006832A9">
        <w:rPr>
          <w:rFonts w:ascii="Arial" w:hAnsi="Arial" w:cs="Arial"/>
          <w:iCs/>
          <w:color w:val="000000" w:themeColor="text1"/>
        </w:rPr>
        <w:t xml:space="preserve">Effects of age, gender, presence of </w:t>
      </w:r>
      <w:r w:rsidR="00BD26BB" w:rsidRPr="006832A9">
        <w:rPr>
          <w:rFonts w:ascii="Arial" w:hAnsi="Arial" w:cs="Arial"/>
          <w:color w:val="000000" w:themeColor="text1"/>
        </w:rPr>
        <w:t>OCS,</w:t>
      </w:r>
      <w:r w:rsidR="00BD26BB" w:rsidRPr="006832A9">
        <w:rPr>
          <w:rFonts w:ascii="Arial" w:hAnsi="Arial" w:cs="Arial"/>
          <w:iCs/>
          <w:color w:val="000000" w:themeColor="text1"/>
        </w:rPr>
        <w:t xml:space="preserve"> and </w:t>
      </w:r>
      <w:r w:rsidR="003367D3" w:rsidRPr="006832A9">
        <w:rPr>
          <w:rFonts w:ascii="Arial" w:hAnsi="Arial" w:cs="Arial"/>
          <w:iCs/>
          <w:color w:val="000000" w:themeColor="text1"/>
        </w:rPr>
        <w:t xml:space="preserve">whether </w:t>
      </w:r>
      <w:r w:rsidR="00B31AE1" w:rsidRPr="006832A9">
        <w:rPr>
          <w:rFonts w:ascii="Arial" w:hAnsi="Arial" w:cs="Arial"/>
          <w:iCs/>
          <w:color w:val="000000" w:themeColor="text1"/>
        </w:rPr>
        <w:t xml:space="preserve">influenza </w:t>
      </w:r>
      <w:r w:rsidR="003367D3" w:rsidRPr="006832A9">
        <w:rPr>
          <w:rFonts w:ascii="Arial" w:hAnsi="Arial" w:cs="Arial"/>
          <w:iCs/>
          <w:color w:val="000000" w:themeColor="text1"/>
        </w:rPr>
        <w:t xml:space="preserve">vaccine was administered concomitantly </w:t>
      </w:r>
      <w:r w:rsidR="00E403D8" w:rsidRPr="006832A9">
        <w:rPr>
          <w:rFonts w:ascii="Arial" w:hAnsi="Arial" w:cs="Arial"/>
          <w:iCs/>
          <w:color w:val="000000" w:themeColor="text1"/>
        </w:rPr>
        <w:t xml:space="preserve">were </w:t>
      </w:r>
      <w:r w:rsidR="003367D3" w:rsidRPr="006832A9">
        <w:rPr>
          <w:rFonts w:ascii="Arial" w:hAnsi="Arial" w:cs="Arial"/>
          <w:iCs/>
          <w:color w:val="000000" w:themeColor="text1"/>
        </w:rPr>
        <w:t>also considered</w:t>
      </w:r>
      <w:r w:rsidR="00BD26BB" w:rsidRPr="006832A9">
        <w:rPr>
          <w:rFonts w:ascii="Arial" w:hAnsi="Arial" w:cs="Arial"/>
          <w:iCs/>
          <w:color w:val="000000" w:themeColor="text1"/>
        </w:rPr>
        <w:t>.</w:t>
      </w:r>
      <w:r w:rsidR="003367D3" w:rsidRPr="006832A9">
        <w:rPr>
          <w:rFonts w:ascii="Arial" w:hAnsi="Arial" w:cs="Arial"/>
          <w:iCs/>
          <w:color w:val="000000" w:themeColor="text1"/>
        </w:rPr>
        <w:t xml:space="preserve"> </w:t>
      </w:r>
      <w:r w:rsidR="00BD26BB" w:rsidRPr="006832A9">
        <w:rPr>
          <w:rFonts w:ascii="Arial" w:hAnsi="Arial" w:cs="Arial"/>
          <w:iCs/>
          <w:color w:val="000000" w:themeColor="text1"/>
        </w:rPr>
        <w:t xml:space="preserve"> </w:t>
      </w:r>
    </w:p>
    <w:p w14:paraId="5CBEB1D7" w14:textId="55051BCA" w:rsidR="005138EF" w:rsidRPr="00B61C92" w:rsidRDefault="005138EF" w:rsidP="00BD26BB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4007ED79" w14:textId="607FD28E" w:rsidR="00B61C92" w:rsidRPr="00B61C92" w:rsidRDefault="00B61C92" w:rsidP="00BD26BB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B61C92">
        <w:rPr>
          <w:rFonts w:ascii="Arial" w:hAnsi="Arial" w:cs="Arial"/>
          <w:i/>
          <w:iCs/>
          <w:color w:val="000000" w:themeColor="text1"/>
        </w:rPr>
        <w:t>Statistical Analysis</w:t>
      </w:r>
    </w:p>
    <w:p w14:paraId="36202EC1" w14:textId="0470FB9F" w:rsidR="00114008" w:rsidRPr="004420A0" w:rsidRDefault="00BD26BB" w:rsidP="00513788">
      <w:pPr>
        <w:spacing w:line="480" w:lineRule="auto"/>
        <w:jc w:val="both"/>
        <w:rPr>
          <w:rFonts w:ascii="Arial" w:hAnsi="Arial" w:cs="Arial"/>
          <w:iCs/>
          <w:color w:val="000000" w:themeColor="text1"/>
        </w:rPr>
      </w:pPr>
      <w:r w:rsidRPr="004420A0">
        <w:rPr>
          <w:rFonts w:ascii="Arial" w:hAnsi="Arial" w:cs="Arial"/>
          <w:color w:val="000000" w:themeColor="text1"/>
        </w:rPr>
        <w:t xml:space="preserve">Statistical analysis was conducted using </w:t>
      </w:r>
      <w:r w:rsidRPr="00B853A3">
        <w:rPr>
          <w:rFonts w:ascii="Arial" w:hAnsi="Arial" w:cs="Arial"/>
          <w:color w:val="000000" w:themeColor="text1"/>
        </w:rPr>
        <w:t>JASPv0.1</w:t>
      </w:r>
      <w:r w:rsidR="005F59A9" w:rsidRPr="00645C17">
        <w:rPr>
          <w:rFonts w:ascii="Arial" w:hAnsi="Arial" w:cs="Arial"/>
          <w:color w:val="000000" w:themeColor="text1"/>
        </w:rPr>
        <w:t>6</w:t>
      </w:r>
      <w:r w:rsidRPr="00F71A96">
        <w:rPr>
          <w:rFonts w:ascii="Arial" w:hAnsi="Arial" w:cs="Arial"/>
          <w:color w:val="000000" w:themeColor="text1"/>
        </w:rPr>
        <w:t>.</w:t>
      </w:r>
      <w:r w:rsidR="005F59A9" w:rsidRPr="00F71A96">
        <w:rPr>
          <w:rFonts w:ascii="Arial" w:hAnsi="Arial" w:cs="Arial"/>
          <w:color w:val="000000" w:themeColor="text1"/>
        </w:rPr>
        <w:t>3</w:t>
      </w:r>
      <w:r w:rsidRPr="00F71A96">
        <w:rPr>
          <w:rFonts w:ascii="Arial" w:hAnsi="Arial" w:cs="Arial"/>
          <w:color w:val="000000" w:themeColor="text1"/>
        </w:rPr>
        <w:t>.0</w:t>
      </w:r>
      <w:r w:rsidR="00B853A3" w:rsidRPr="00F71A96">
        <w:rPr>
          <w:rFonts w:ascii="Arial" w:hAnsi="Arial" w:cs="Arial"/>
          <w:color w:val="000000" w:themeColor="text1"/>
          <w:vertAlign w:val="superscript"/>
        </w:rPr>
        <w:t>[16]</w:t>
      </w:r>
      <w:r w:rsidRPr="004420A0">
        <w:rPr>
          <w:rFonts w:ascii="Arial" w:hAnsi="Arial" w:cs="Arial"/>
          <w:color w:val="000000" w:themeColor="text1"/>
        </w:rPr>
        <w:t xml:space="preserve">. </w:t>
      </w:r>
      <w:r w:rsidR="005F59A9" w:rsidRPr="004420A0">
        <w:rPr>
          <w:rFonts w:ascii="Arial" w:hAnsi="Arial" w:cs="Arial"/>
          <w:color w:val="000000" w:themeColor="text1"/>
        </w:rPr>
        <w:t>Frequencies of categorical variables and the occurrence of any moderate</w:t>
      </w:r>
      <w:r w:rsidR="004420A0">
        <w:rPr>
          <w:rFonts w:ascii="Arial" w:hAnsi="Arial" w:cs="Arial"/>
          <w:color w:val="000000" w:themeColor="text1"/>
        </w:rPr>
        <w:t>-</w:t>
      </w:r>
      <w:r w:rsidR="005F59A9" w:rsidRPr="004420A0">
        <w:rPr>
          <w:rFonts w:ascii="Arial" w:hAnsi="Arial" w:cs="Arial"/>
          <w:color w:val="000000" w:themeColor="text1"/>
        </w:rPr>
        <w:t>to</w:t>
      </w:r>
      <w:r w:rsidR="004420A0">
        <w:rPr>
          <w:rFonts w:ascii="Arial" w:hAnsi="Arial" w:cs="Arial"/>
          <w:color w:val="000000" w:themeColor="text1"/>
        </w:rPr>
        <w:t>-</w:t>
      </w:r>
      <w:r w:rsidR="005F59A9" w:rsidRPr="004420A0">
        <w:rPr>
          <w:rFonts w:ascii="Arial" w:hAnsi="Arial" w:cs="Arial"/>
          <w:color w:val="000000" w:themeColor="text1"/>
        </w:rPr>
        <w:t xml:space="preserve">severe </w:t>
      </w:r>
      <w:r w:rsidR="004420A0">
        <w:rPr>
          <w:rFonts w:ascii="Arial" w:hAnsi="Arial" w:cs="Arial"/>
          <w:color w:val="000000" w:themeColor="text1"/>
        </w:rPr>
        <w:t>AEs</w:t>
      </w:r>
      <w:r w:rsidR="004420A0" w:rsidRPr="004420A0">
        <w:rPr>
          <w:rFonts w:ascii="Arial" w:hAnsi="Arial" w:cs="Arial"/>
          <w:color w:val="000000" w:themeColor="text1"/>
        </w:rPr>
        <w:t xml:space="preserve"> </w:t>
      </w:r>
      <w:r w:rsidR="005F59A9" w:rsidRPr="004420A0">
        <w:rPr>
          <w:rFonts w:ascii="Arial" w:hAnsi="Arial" w:cs="Arial"/>
          <w:color w:val="000000" w:themeColor="text1"/>
        </w:rPr>
        <w:t xml:space="preserve">were examined using the chi-square test. </w:t>
      </w:r>
      <w:r w:rsidRPr="004420A0">
        <w:rPr>
          <w:rFonts w:ascii="Arial" w:hAnsi="Arial" w:cs="Arial"/>
          <w:color w:val="000000" w:themeColor="text1"/>
        </w:rPr>
        <w:t>Scores were compared using 2-way ANOVA</w:t>
      </w:r>
      <w:r w:rsidR="005F59A9" w:rsidRPr="004420A0">
        <w:rPr>
          <w:rFonts w:ascii="Arial" w:hAnsi="Arial" w:cs="Arial"/>
          <w:color w:val="000000" w:themeColor="text1"/>
        </w:rPr>
        <w:t xml:space="preserve"> and ANCOVA where age and gender were relevant</w:t>
      </w:r>
      <w:r w:rsidRPr="004420A0">
        <w:rPr>
          <w:rFonts w:ascii="Arial" w:hAnsi="Arial" w:cs="Arial"/>
          <w:color w:val="000000" w:themeColor="text1"/>
        </w:rPr>
        <w:t xml:space="preserve">. Multivariable logistic regressions were applied to identify the relationship between </w:t>
      </w:r>
      <w:r w:rsidRPr="004420A0">
        <w:rPr>
          <w:rFonts w:ascii="Arial" w:hAnsi="Arial" w:cs="Arial"/>
          <w:iCs/>
          <w:color w:val="000000" w:themeColor="text1"/>
        </w:rPr>
        <w:t>COVID-19</w:t>
      </w:r>
      <w:r w:rsidRPr="004420A0">
        <w:rPr>
          <w:rFonts w:ascii="Arial" w:hAnsi="Arial" w:cs="Arial"/>
          <w:color w:val="000000" w:themeColor="text1"/>
        </w:rPr>
        <w:t xml:space="preserve"> status and moderate-to-severe AEs, and the Bonferroni correction applied to the resulting significance/confidence intervals. Correlation</w:t>
      </w:r>
      <w:r w:rsidR="005F59A9" w:rsidRPr="004420A0">
        <w:rPr>
          <w:rFonts w:ascii="Arial" w:hAnsi="Arial" w:cs="Arial"/>
          <w:color w:val="000000" w:themeColor="text1"/>
        </w:rPr>
        <w:t>/tests of difference</w:t>
      </w:r>
      <w:r w:rsidRPr="004420A0">
        <w:rPr>
          <w:rFonts w:ascii="Arial" w:hAnsi="Arial" w:cs="Arial"/>
          <w:color w:val="000000" w:themeColor="text1"/>
        </w:rPr>
        <w:t xml:space="preserve"> explored associations between AEs and age/gender.</w:t>
      </w:r>
      <w:r w:rsidR="00B31AE1">
        <w:rPr>
          <w:rFonts w:ascii="Arial" w:hAnsi="Arial" w:cs="Arial"/>
          <w:color w:val="000000" w:themeColor="text1"/>
        </w:rPr>
        <w:t xml:space="preserve"> </w:t>
      </w:r>
    </w:p>
    <w:p w14:paraId="4DAB2AB8" w14:textId="77777777" w:rsidR="00513788" w:rsidRPr="00513788" w:rsidRDefault="00513788" w:rsidP="00513788">
      <w:pPr>
        <w:spacing w:line="480" w:lineRule="auto"/>
        <w:jc w:val="both"/>
        <w:rPr>
          <w:rFonts w:ascii="Arial" w:hAnsi="Arial" w:cs="Arial"/>
          <w:iCs/>
          <w:color w:val="FF0000"/>
        </w:rPr>
      </w:pPr>
    </w:p>
    <w:p w14:paraId="0A306345" w14:textId="597D1D0E" w:rsidR="00007BE6" w:rsidRDefault="004A515C" w:rsidP="00F7166A">
      <w:pPr>
        <w:pStyle w:val="NoSpacing"/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6C2748">
        <w:rPr>
          <w:rFonts w:ascii="Arial" w:hAnsi="Arial" w:cs="Arial"/>
          <w:b/>
          <w:color w:val="000000" w:themeColor="text1"/>
        </w:rPr>
        <w:t xml:space="preserve">3. Results </w:t>
      </w:r>
    </w:p>
    <w:p w14:paraId="5376DEC8" w14:textId="0AB6D83E" w:rsidR="00007BE6" w:rsidRPr="0023648B" w:rsidRDefault="00007BE6" w:rsidP="0023648B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Five-hundred and thirty-four HCWs </w:t>
      </w:r>
      <w:r w:rsidR="005138EF">
        <w:rPr>
          <w:rFonts w:ascii="Arial" w:hAnsi="Arial" w:cs="Arial"/>
        </w:rPr>
        <w:t xml:space="preserve">responded to the </w:t>
      </w:r>
      <w:r w:rsidR="005138EF" w:rsidRPr="00E95314">
        <w:rPr>
          <w:rFonts w:ascii="Arial" w:hAnsi="Arial" w:cs="Arial"/>
          <w:color w:val="000000" w:themeColor="text1"/>
        </w:rPr>
        <w:t>questionnaires (</w:t>
      </w:r>
      <w:r w:rsidR="00E95314" w:rsidRPr="00E95314">
        <w:rPr>
          <w:rFonts w:ascii="Arial" w:hAnsi="Arial" w:cs="Arial"/>
          <w:color w:val="000000" w:themeColor="text1"/>
        </w:rPr>
        <w:t>15% male</w:t>
      </w:r>
      <w:r w:rsidR="005138EF" w:rsidRPr="00E95314">
        <w:rPr>
          <w:rFonts w:ascii="Arial" w:hAnsi="Arial" w:cs="Arial"/>
          <w:color w:val="000000" w:themeColor="text1"/>
        </w:rPr>
        <w:t>, mean age 49.6yr [SD</w:t>
      </w:r>
      <w:r w:rsidR="00C61F1E">
        <w:rPr>
          <w:rFonts w:ascii="Arial" w:hAnsi="Arial" w:cs="Arial"/>
          <w:color w:val="000000" w:themeColor="text1"/>
        </w:rPr>
        <w:t>-</w:t>
      </w:r>
      <w:r w:rsidR="005138EF" w:rsidRPr="00E95314">
        <w:rPr>
          <w:rFonts w:ascii="Arial" w:hAnsi="Arial" w:cs="Arial"/>
          <w:color w:val="000000" w:themeColor="text1"/>
        </w:rPr>
        <w:t xml:space="preserve">10.6]. </w:t>
      </w:r>
      <w:r w:rsidR="00DD4946">
        <w:rPr>
          <w:rFonts w:ascii="Arial" w:hAnsi="Arial" w:cs="Arial"/>
          <w:bCs/>
          <w:color w:val="000000" w:themeColor="text1"/>
        </w:rPr>
        <w:t xml:space="preserve">Looking at prior </w:t>
      </w:r>
      <w:r w:rsidR="00DD4946" w:rsidRPr="00E95314">
        <w:rPr>
          <w:rFonts w:ascii="Arial" w:hAnsi="Arial" w:cs="Arial"/>
          <w:bCs/>
          <w:color w:val="000000" w:themeColor="text1"/>
        </w:rPr>
        <w:t xml:space="preserve">COVID-19 history, </w:t>
      </w:r>
      <w:r w:rsidRPr="00E95314">
        <w:rPr>
          <w:rFonts w:ascii="Arial" w:hAnsi="Arial" w:cs="Arial"/>
          <w:color w:val="000000" w:themeColor="text1"/>
        </w:rPr>
        <w:t>147/454</w:t>
      </w:r>
      <w:r w:rsidR="00C61F1E">
        <w:rPr>
          <w:rFonts w:ascii="Arial" w:hAnsi="Arial" w:cs="Arial"/>
          <w:color w:val="000000" w:themeColor="text1"/>
        </w:rPr>
        <w:t xml:space="preserve"> (32.3%)</w:t>
      </w:r>
      <w:r w:rsidRPr="00E95314">
        <w:rPr>
          <w:rFonts w:ascii="Arial" w:hAnsi="Arial" w:cs="Arial"/>
          <w:color w:val="000000" w:themeColor="text1"/>
        </w:rPr>
        <w:t xml:space="preserve"> </w:t>
      </w:r>
      <w:r w:rsidR="00DD4946" w:rsidRPr="00E95314">
        <w:rPr>
          <w:rFonts w:ascii="Arial" w:hAnsi="Arial" w:cs="Arial"/>
          <w:color w:val="000000" w:themeColor="text1"/>
        </w:rPr>
        <w:t xml:space="preserve">self-reported previous </w:t>
      </w:r>
      <w:r w:rsidR="00DE0B43" w:rsidRPr="00E95314">
        <w:rPr>
          <w:rFonts w:ascii="Arial" w:hAnsi="Arial" w:cs="Arial"/>
          <w:iCs/>
          <w:color w:val="000000" w:themeColor="text1"/>
        </w:rPr>
        <w:t>COVID-19</w:t>
      </w:r>
      <w:r w:rsidR="00E95314">
        <w:rPr>
          <w:rFonts w:ascii="Arial" w:hAnsi="Arial" w:cs="Arial"/>
          <w:iCs/>
          <w:color w:val="FF0000"/>
        </w:rPr>
        <w:t>.</w:t>
      </w:r>
      <w:r w:rsidR="00DD4946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>492</w:t>
      </w:r>
      <w:r w:rsidR="00C61F1E">
        <w:rPr>
          <w:rFonts w:ascii="Arial" w:hAnsi="Arial" w:cs="Arial"/>
        </w:rPr>
        <w:t xml:space="preserve"> (92.1%)</w:t>
      </w:r>
      <w:r w:rsidRPr="00650A9F">
        <w:rPr>
          <w:rFonts w:ascii="Arial" w:hAnsi="Arial" w:cs="Arial"/>
        </w:rPr>
        <w:t xml:space="preserve"> had </w:t>
      </w:r>
      <w:r w:rsidR="003D4EC4">
        <w:rPr>
          <w:rFonts w:ascii="Arial" w:hAnsi="Arial" w:cs="Arial"/>
        </w:rPr>
        <w:t xml:space="preserve">received </w:t>
      </w:r>
      <w:r w:rsidR="00FD185D">
        <w:rPr>
          <w:rFonts w:ascii="Arial" w:hAnsi="Arial" w:cs="Arial"/>
        </w:rPr>
        <w:t xml:space="preserve">influenza </w:t>
      </w:r>
      <w:r w:rsidR="0023648B">
        <w:rPr>
          <w:rFonts w:ascii="Arial" w:hAnsi="Arial" w:cs="Arial"/>
        </w:rPr>
        <w:t>vaccine</w:t>
      </w:r>
      <w:r w:rsidR="00FD185D">
        <w:rPr>
          <w:rFonts w:ascii="Arial" w:hAnsi="Arial" w:cs="Arial"/>
        </w:rPr>
        <w:t>:</w:t>
      </w:r>
      <w:r w:rsidR="0023648B">
        <w:rPr>
          <w:rFonts w:ascii="Arial" w:hAnsi="Arial" w:cs="Arial"/>
        </w:rPr>
        <w:t xml:space="preserve"> </w:t>
      </w:r>
      <w:r w:rsidR="00FD185D">
        <w:rPr>
          <w:rFonts w:ascii="Arial" w:hAnsi="Arial" w:cs="Arial"/>
        </w:rPr>
        <w:t>56</w:t>
      </w:r>
      <w:r w:rsidR="0023648B">
        <w:rPr>
          <w:rFonts w:ascii="Arial" w:hAnsi="Arial" w:cs="Arial"/>
        </w:rPr>
        <w:t xml:space="preserve"> HCWs (</w:t>
      </w:r>
      <w:r w:rsidRPr="00650A9F">
        <w:rPr>
          <w:rFonts w:ascii="Arial" w:hAnsi="Arial" w:cs="Arial"/>
        </w:rPr>
        <w:t>11.4%</w:t>
      </w:r>
      <w:r w:rsidR="0023648B">
        <w:rPr>
          <w:rFonts w:ascii="Arial" w:hAnsi="Arial" w:cs="Arial"/>
        </w:rPr>
        <w:t xml:space="preserve">) had </w:t>
      </w:r>
      <w:r w:rsidR="00FD185D">
        <w:rPr>
          <w:rFonts w:ascii="Arial" w:hAnsi="Arial" w:cs="Arial"/>
        </w:rPr>
        <w:t>it</w:t>
      </w:r>
      <w:r w:rsidR="0023648B">
        <w:rPr>
          <w:rFonts w:ascii="Arial" w:hAnsi="Arial" w:cs="Arial"/>
        </w:rPr>
        <w:t xml:space="preserve"> within </w:t>
      </w:r>
      <w:r w:rsidRPr="00650A9F">
        <w:rPr>
          <w:rFonts w:ascii="Arial" w:hAnsi="Arial" w:cs="Arial"/>
        </w:rPr>
        <w:t>7 days</w:t>
      </w:r>
      <w:r w:rsidR="0023648B">
        <w:rPr>
          <w:rFonts w:ascii="Arial" w:hAnsi="Arial" w:cs="Arial"/>
        </w:rPr>
        <w:t xml:space="preserve"> o</w:t>
      </w:r>
      <w:r w:rsidR="00FD185D">
        <w:rPr>
          <w:rFonts w:ascii="Arial" w:hAnsi="Arial" w:cs="Arial"/>
        </w:rPr>
        <w:t>f</w:t>
      </w:r>
      <w:r w:rsidR="0023648B">
        <w:rPr>
          <w:rFonts w:ascii="Arial" w:hAnsi="Arial" w:cs="Arial"/>
        </w:rPr>
        <w:t xml:space="preserve"> </w:t>
      </w:r>
      <w:r w:rsidR="00764AFA">
        <w:rPr>
          <w:rFonts w:ascii="Arial" w:hAnsi="Arial" w:cs="Arial"/>
        </w:rPr>
        <w:t xml:space="preserve">their third </w:t>
      </w:r>
      <w:r w:rsidR="0023648B" w:rsidRPr="0023648B">
        <w:rPr>
          <w:rFonts w:ascii="Arial" w:hAnsi="Arial" w:cs="Arial"/>
          <w:bCs/>
          <w:color w:val="000000" w:themeColor="text1"/>
        </w:rPr>
        <w:t>BNT162b2/Pfizer</w:t>
      </w:r>
      <w:r w:rsidR="00764AFA">
        <w:rPr>
          <w:rFonts w:ascii="Arial" w:hAnsi="Arial" w:cs="Arial"/>
          <w:bCs/>
          <w:color w:val="000000" w:themeColor="text1"/>
        </w:rPr>
        <w:t xml:space="preserve"> dose</w:t>
      </w:r>
      <w:r w:rsidR="0023648B">
        <w:rPr>
          <w:rFonts w:ascii="Arial" w:hAnsi="Arial" w:cs="Arial"/>
          <w:bCs/>
          <w:color w:val="000000" w:themeColor="text1"/>
        </w:rPr>
        <w:t xml:space="preserve">, </w:t>
      </w:r>
      <w:r w:rsidRPr="00650A9F">
        <w:rPr>
          <w:rFonts w:ascii="Arial" w:hAnsi="Arial" w:cs="Arial"/>
        </w:rPr>
        <w:t xml:space="preserve">292 </w:t>
      </w:r>
      <w:r w:rsidR="0023648B">
        <w:rPr>
          <w:rFonts w:ascii="Arial" w:hAnsi="Arial" w:cs="Arial"/>
        </w:rPr>
        <w:t>HCWs (</w:t>
      </w:r>
      <w:r w:rsidRPr="00650A9F">
        <w:rPr>
          <w:rFonts w:ascii="Arial" w:hAnsi="Arial" w:cs="Arial"/>
        </w:rPr>
        <w:t>59.4%</w:t>
      </w:r>
      <w:r w:rsidR="0023648B">
        <w:rPr>
          <w:rFonts w:ascii="Arial" w:hAnsi="Arial" w:cs="Arial"/>
        </w:rPr>
        <w:t xml:space="preserve">) had their doses </w:t>
      </w:r>
      <w:r w:rsidRPr="00650A9F">
        <w:rPr>
          <w:rFonts w:ascii="Arial" w:hAnsi="Arial" w:cs="Arial"/>
        </w:rPr>
        <w:t>&gt;7 days</w:t>
      </w:r>
      <w:r w:rsidR="0023648B">
        <w:rPr>
          <w:rFonts w:ascii="Arial" w:hAnsi="Arial" w:cs="Arial"/>
        </w:rPr>
        <w:t xml:space="preserve"> apart. </w:t>
      </w:r>
      <w:r w:rsidRPr="00650A9F">
        <w:rPr>
          <w:rFonts w:ascii="Arial" w:hAnsi="Arial" w:cs="Arial"/>
        </w:rPr>
        <w:t xml:space="preserve">144 </w:t>
      </w:r>
      <w:r w:rsidR="0023648B">
        <w:rPr>
          <w:rFonts w:ascii="Arial" w:hAnsi="Arial" w:cs="Arial"/>
        </w:rPr>
        <w:t xml:space="preserve">HCWs </w:t>
      </w:r>
      <w:r w:rsidRPr="00650A9F">
        <w:rPr>
          <w:rFonts w:ascii="Arial" w:hAnsi="Arial" w:cs="Arial"/>
        </w:rPr>
        <w:t>(29.3%</w:t>
      </w:r>
      <w:r w:rsidR="0023648B">
        <w:rPr>
          <w:rFonts w:ascii="Arial" w:hAnsi="Arial" w:cs="Arial"/>
        </w:rPr>
        <w:t>)</w:t>
      </w:r>
      <w:r w:rsidR="00322513">
        <w:rPr>
          <w:rFonts w:ascii="Arial" w:hAnsi="Arial" w:cs="Arial"/>
        </w:rPr>
        <w:t xml:space="preserve"> did not indicate time interval</w:t>
      </w:r>
      <w:r w:rsidR="0023648B">
        <w:rPr>
          <w:rFonts w:ascii="Arial" w:hAnsi="Arial" w:cs="Arial"/>
        </w:rPr>
        <w:t xml:space="preserve">. </w:t>
      </w:r>
      <w:r w:rsidR="00A1216B">
        <w:rPr>
          <w:rFonts w:ascii="Arial" w:hAnsi="Arial" w:cs="Arial"/>
        </w:rPr>
        <w:t xml:space="preserve">Raw data is available to view as supplementary information (see S1 Data). </w:t>
      </w:r>
    </w:p>
    <w:p w14:paraId="4768BFF5" w14:textId="77777777" w:rsidR="001406DB" w:rsidRDefault="001406DB" w:rsidP="00C147C9">
      <w:pPr>
        <w:spacing w:line="480" w:lineRule="auto"/>
        <w:jc w:val="both"/>
        <w:rPr>
          <w:rFonts w:ascii="Arial" w:hAnsi="Arial" w:cs="Arial"/>
          <w:b/>
          <w:bCs/>
          <w:i/>
          <w:iCs/>
        </w:rPr>
      </w:pPr>
    </w:p>
    <w:p w14:paraId="64DCBD8F" w14:textId="36C9C52B" w:rsidR="00F71A96" w:rsidRDefault="00C147C9" w:rsidP="00F71A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Initial analys</w:t>
      </w:r>
      <w:r w:rsidR="0097053C">
        <w:rPr>
          <w:rFonts w:ascii="Arial" w:hAnsi="Arial" w:cs="Arial"/>
        </w:rPr>
        <w:t xml:space="preserve">es </w:t>
      </w:r>
      <w:r w:rsidR="0023648B">
        <w:rPr>
          <w:rFonts w:ascii="Arial" w:hAnsi="Arial" w:cs="Arial"/>
        </w:rPr>
        <w:t>revealed</w:t>
      </w:r>
      <w:r w:rsidR="00650A9F" w:rsidRPr="00650A9F">
        <w:rPr>
          <w:rFonts w:ascii="Arial" w:hAnsi="Arial" w:cs="Arial"/>
        </w:rPr>
        <w:t xml:space="preserve"> a significant negative relationship between</w:t>
      </w:r>
      <w:r w:rsidR="005D6546">
        <w:rPr>
          <w:rFonts w:ascii="Arial" w:hAnsi="Arial" w:cs="Arial"/>
        </w:rPr>
        <w:t xml:space="preserve"> age and</w:t>
      </w:r>
      <w:r w:rsidR="00650A9F" w:rsidRPr="00650A9F">
        <w:rPr>
          <w:rFonts w:ascii="Arial" w:hAnsi="Arial" w:cs="Arial"/>
        </w:rPr>
        <w:t xml:space="preserve"> the number of moderate</w:t>
      </w:r>
      <w:r w:rsidR="0097053C">
        <w:rPr>
          <w:rFonts w:ascii="Arial" w:hAnsi="Arial" w:cs="Arial"/>
        </w:rPr>
        <w:t>-</w:t>
      </w:r>
      <w:r w:rsidR="00650A9F" w:rsidRPr="00650A9F">
        <w:rPr>
          <w:rFonts w:ascii="Arial" w:hAnsi="Arial" w:cs="Arial"/>
        </w:rPr>
        <w:t>to</w:t>
      </w:r>
      <w:r w:rsidR="0097053C">
        <w:rPr>
          <w:rFonts w:ascii="Arial" w:hAnsi="Arial" w:cs="Arial"/>
        </w:rPr>
        <w:t>-</w:t>
      </w:r>
      <w:r w:rsidR="00650A9F" w:rsidRPr="00650A9F">
        <w:rPr>
          <w:rFonts w:ascii="Arial" w:hAnsi="Arial" w:cs="Arial"/>
        </w:rPr>
        <w:t xml:space="preserve">severe </w:t>
      </w:r>
      <w:r w:rsidR="0097053C">
        <w:rPr>
          <w:rFonts w:ascii="Arial" w:hAnsi="Arial" w:cs="Arial"/>
        </w:rPr>
        <w:t>AEs</w:t>
      </w:r>
      <w:r w:rsidR="00650A9F" w:rsidRPr="00650A9F">
        <w:rPr>
          <w:rFonts w:ascii="Arial" w:hAnsi="Arial" w:cs="Arial"/>
        </w:rPr>
        <w:t xml:space="preserve"> </w:t>
      </w:r>
      <w:r w:rsidR="0097053C">
        <w:rPr>
          <w:rFonts w:ascii="Arial" w:hAnsi="Arial" w:cs="Arial"/>
        </w:rPr>
        <w:t xml:space="preserve">following </w:t>
      </w:r>
      <w:r w:rsidR="002844A0">
        <w:rPr>
          <w:rFonts w:ascii="Arial" w:hAnsi="Arial" w:cs="Arial"/>
        </w:rPr>
        <w:t>third</w:t>
      </w:r>
      <w:r w:rsidR="0097053C">
        <w:rPr>
          <w:rFonts w:ascii="Arial" w:hAnsi="Arial" w:cs="Arial"/>
        </w:rPr>
        <w:t xml:space="preserve"> </w:t>
      </w:r>
      <w:r w:rsidR="00993476" w:rsidRPr="0023648B">
        <w:rPr>
          <w:rFonts w:ascii="Arial" w:hAnsi="Arial" w:cs="Arial"/>
          <w:bCs/>
          <w:color w:val="000000" w:themeColor="text1"/>
        </w:rPr>
        <w:t>BNT162b2/Pfizer</w:t>
      </w:r>
      <w:r w:rsidR="00764AFA">
        <w:rPr>
          <w:rFonts w:ascii="Arial" w:hAnsi="Arial" w:cs="Arial"/>
          <w:bCs/>
          <w:color w:val="000000" w:themeColor="text1"/>
        </w:rPr>
        <w:t xml:space="preserve"> </w:t>
      </w:r>
      <w:r w:rsidR="0097053C">
        <w:rPr>
          <w:rFonts w:ascii="Arial" w:hAnsi="Arial" w:cs="Arial"/>
        </w:rPr>
        <w:t xml:space="preserve">and </w:t>
      </w:r>
      <w:r w:rsidR="00FD185D">
        <w:rPr>
          <w:rFonts w:ascii="Arial" w:hAnsi="Arial" w:cs="Arial"/>
        </w:rPr>
        <w:t xml:space="preserve">influenza </w:t>
      </w:r>
      <w:r w:rsidR="00086490">
        <w:rPr>
          <w:rFonts w:ascii="Arial" w:hAnsi="Arial" w:cs="Arial"/>
        </w:rPr>
        <w:t>vaccines</w:t>
      </w:r>
      <w:r w:rsidR="00650A9F" w:rsidRPr="00650A9F">
        <w:rPr>
          <w:rFonts w:ascii="Arial" w:hAnsi="Arial" w:cs="Arial"/>
        </w:rPr>
        <w:t xml:space="preserve"> (</w:t>
      </w:r>
      <w:r w:rsidR="001406DB" w:rsidRPr="0023648B">
        <w:rPr>
          <w:rFonts w:ascii="Arial" w:hAnsi="Arial" w:cs="Arial"/>
          <w:bCs/>
          <w:color w:val="000000" w:themeColor="text1"/>
        </w:rPr>
        <w:t xml:space="preserve">BNT162b2/Pfizer </w:t>
      </w:r>
      <w:r w:rsidR="00650A9F" w:rsidRPr="00650A9F">
        <w:rPr>
          <w:rFonts w:ascii="Arial" w:hAnsi="Arial" w:cs="Arial"/>
        </w:rPr>
        <w:t>Kendall’s</w:t>
      </w:r>
      <w:r w:rsidR="00993476">
        <w:rPr>
          <w:rFonts w:ascii="Arial" w:hAnsi="Arial" w:cs="Arial"/>
        </w:rPr>
        <w:t>-</w:t>
      </w:r>
      <w:r w:rsidR="00650A9F" w:rsidRPr="00650A9F">
        <w:rPr>
          <w:rFonts w:ascii="Arial" w:hAnsi="Arial" w:cs="Arial"/>
        </w:rPr>
        <w:t>tau=-0.16</w:t>
      </w:r>
      <w:r w:rsidR="0097053C">
        <w:rPr>
          <w:rFonts w:ascii="Arial" w:hAnsi="Arial" w:cs="Arial"/>
        </w:rPr>
        <w:t xml:space="preserve">; </w:t>
      </w:r>
      <w:r w:rsidR="00FF5FCE">
        <w:rPr>
          <w:rFonts w:ascii="Arial" w:hAnsi="Arial" w:cs="Arial"/>
        </w:rPr>
        <w:t xml:space="preserve">influenza </w:t>
      </w:r>
      <w:r w:rsidR="00650A9F" w:rsidRPr="00650A9F">
        <w:rPr>
          <w:rFonts w:ascii="Arial" w:hAnsi="Arial" w:cs="Arial"/>
        </w:rPr>
        <w:t>Kendall’s</w:t>
      </w:r>
      <w:r w:rsidR="00993476">
        <w:rPr>
          <w:rFonts w:ascii="Arial" w:hAnsi="Arial" w:cs="Arial"/>
        </w:rPr>
        <w:t>-</w:t>
      </w:r>
      <w:r w:rsidR="00650A9F" w:rsidRPr="00650A9F">
        <w:rPr>
          <w:rFonts w:ascii="Arial" w:hAnsi="Arial" w:cs="Arial"/>
        </w:rPr>
        <w:t>tau=-0.</w:t>
      </w:r>
      <w:proofErr w:type="gramStart"/>
      <w:r w:rsidR="00650A9F" w:rsidRPr="00650A9F">
        <w:rPr>
          <w:rFonts w:ascii="Arial" w:hAnsi="Arial" w:cs="Arial"/>
        </w:rPr>
        <w:t>14</w:t>
      </w:r>
      <w:r w:rsidR="0097053C">
        <w:rPr>
          <w:rFonts w:ascii="Arial" w:hAnsi="Arial" w:cs="Arial"/>
        </w:rPr>
        <w:t>;</w:t>
      </w:r>
      <w:r w:rsidR="00650A9F" w:rsidRPr="00650A9F">
        <w:rPr>
          <w:rFonts w:ascii="Arial" w:hAnsi="Arial" w:cs="Arial"/>
        </w:rPr>
        <w:t>both</w:t>
      </w:r>
      <w:proofErr w:type="gramEnd"/>
      <w:r w:rsidR="00650A9F" w:rsidRPr="00650A9F">
        <w:rPr>
          <w:rFonts w:ascii="Arial" w:hAnsi="Arial" w:cs="Arial"/>
        </w:rPr>
        <w:t xml:space="preserve"> p&lt;</w:t>
      </w:r>
      <w:r w:rsidR="00FF5FCE">
        <w:rPr>
          <w:rFonts w:ascii="Arial" w:hAnsi="Arial" w:cs="Arial"/>
        </w:rPr>
        <w:t>0</w:t>
      </w:r>
      <w:r w:rsidR="00650A9F" w:rsidRPr="00650A9F">
        <w:rPr>
          <w:rFonts w:ascii="Arial" w:hAnsi="Arial" w:cs="Arial"/>
        </w:rPr>
        <w:t>.001)</w:t>
      </w:r>
      <w:r w:rsidR="0097053C">
        <w:rPr>
          <w:rFonts w:ascii="Arial" w:hAnsi="Arial" w:cs="Arial"/>
        </w:rPr>
        <w:t xml:space="preserve">. </w:t>
      </w:r>
      <w:r w:rsidR="001406DB">
        <w:rPr>
          <w:rFonts w:ascii="Arial" w:hAnsi="Arial" w:cs="Arial"/>
        </w:rPr>
        <w:t>However,</w:t>
      </w:r>
      <w:r w:rsidR="0097053C">
        <w:rPr>
          <w:rFonts w:ascii="Arial" w:hAnsi="Arial" w:cs="Arial"/>
        </w:rPr>
        <w:t xml:space="preserve"> </w:t>
      </w:r>
      <w:r w:rsidR="00A62730">
        <w:rPr>
          <w:rFonts w:ascii="Arial" w:hAnsi="Arial" w:cs="Arial"/>
        </w:rPr>
        <w:t xml:space="preserve">for </w:t>
      </w:r>
      <w:r w:rsidR="00A62730" w:rsidRPr="0023648B">
        <w:rPr>
          <w:rFonts w:ascii="Arial" w:hAnsi="Arial" w:cs="Arial"/>
          <w:bCs/>
          <w:color w:val="000000" w:themeColor="text1"/>
        </w:rPr>
        <w:t xml:space="preserve">BNT162b2/Pfizer </w:t>
      </w:r>
      <w:r w:rsidR="0097053C">
        <w:rPr>
          <w:rFonts w:ascii="Arial" w:hAnsi="Arial" w:cs="Arial"/>
        </w:rPr>
        <w:t>there was</w:t>
      </w:r>
      <w:r w:rsidR="00650A9F" w:rsidRPr="00650A9F">
        <w:rPr>
          <w:rFonts w:ascii="Arial" w:hAnsi="Arial" w:cs="Arial"/>
        </w:rPr>
        <w:t xml:space="preserve"> no significant relationship </w:t>
      </w:r>
      <w:r w:rsidR="00612A02">
        <w:rPr>
          <w:rFonts w:ascii="Arial" w:hAnsi="Arial" w:cs="Arial"/>
        </w:rPr>
        <w:t>between</w:t>
      </w:r>
      <w:r w:rsidR="005F59A9">
        <w:rPr>
          <w:rFonts w:ascii="Arial" w:hAnsi="Arial" w:cs="Arial"/>
        </w:rPr>
        <w:t xml:space="preserve"> age and</w:t>
      </w:r>
      <w:r w:rsidR="00612A02">
        <w:rPr>
          <w:rFonts w:ascii="Arial" w:hAnsi="Arial" w:cs="Arial"/>
        </w:rPr>
        <w:t xml:space="preserve"> </w:t>
      </w:r>
      <w:r w:rsidR="0097053C">
        <w:rPr>
          <w:rFonts w:ascii="Arial" w:hAnsi="Arial" w:cs="Arial"/>
        </w:rPr>
        <w:t xml:space="preserve">number </w:t>
      </w:r>
      <w:r w:rsidR="0097053C">
        <w:rPr>
          <w:rFonts w:ascii="Arial" w:hAnsi="Arial" w:cs="Arial"/>
        </w:rPr>
        <w:lastRenderedPageBreak/>
        <w:t>of AEs</w:t>
      </w:r>
      <w:r w:rsidR="00650A9F" w:rsidRPr="00650A9F">
        <w:rPr>
          <w:rFonts w:ascii="Arial" w:hAnsi="Arial" w:cs="Arial"/>
        </w:rPr>
        <w:t xml:space="preserve"> reported f</w:t>
      </w:r>
      <w:r w:rsidR="0097053C">
        <w:rPr>
          <w:rFonts w:ascii="Arial" w:hAnsi="Arial" w:cs="Arial"/>
        </w:rPr>
        <w:t>ollowing</w:t>
      </w:r>
      <w:r w:rsidR="00FE7279" w:rsidRPr="00FE7279">
        <w:rPr>
          <w:rFonts w:ascii="Arial" w:hAnsi="Arial" w:cs="Arial"/>
          <w:bCs/>
          <w:color w:val="000000" w:themeColor="text1"/>
        </w:rPr>
        <w:t xml:space="preserve"> </w:t>
      </w:r>
      <w:r w:rsidR="0097053C">
        <w:rPr>
          <w:rFonts w:ascii="Arial" w:hAnsi="Arial" w:cs="Arial"/>
        </w:rPr>
        <w:t>doses one and two</w:t>
      </w:r>
      <w:r w:rsidR="00650A9F" w:rsidRPr="00650A9F">
        <w:rPr>
          <w:rFonts w:ascii="Arial" w:hAnsi="Arial" w:cs="Arial"/>
        </w:rPr>
        <w:t xml:space="preserve">. There was a significant strong positive relationship between </w:t>
      </w:r>
      <w:r w:rsidR="0097053C">
        <w:rPr>
          <w:rFonts w:ascii="Arial" w:hAnsi="Arial" w:cs="Arial"/>
        </w:rPr>
        <w:t>number of AEs</w:t>
      </w:r>
      <w:r w:rsidR="00650A9F" w:rsidRPr="00650A9F">
        <w:rPr>
          <w:rFonts w:ascii="Arial" w:hAnsi="Arial" w:cs="Arial"/>
        </w:rPr>
        <w:t xml:space="preserve"> reported for</w:t>
      </w:r>
      <w:r w:rsidR="001406DB">
        <w:rPr>
          <w:rFonts w:ascii="Arial" w:hAnsi="Arial" w:cs="Arial"/>
        </w:rPr>
        <w:t xml:space="preserve"> </w:t>
      </w:r>
      <w:r w:rsidR="00650A9F" w:rsidRPr="00650A9F">
        <w:rPr>
          <w:rFonts w:ascii="Arial" w:hAnsi="Arial" w:cs="Arial"/>
        </w:rPr>
        <w:t>doses one and two (Kendall’s</w:t>
      </w:r>
      <w:r w:rsidR="00993476">
        <w:rPr>
          <w:rFonts w:ascii="Arial" w:hAnsi="Arial" w:cs="Arial"/>
        </w:rPr>
        <w:t>-</w:t>
      </w:r>
      <w:r w:rsidR="00650A9F" w:rsidRPr="00650A9F">
        <w:rPr>
          <w:rFonts w:ascii="Arial" w:hAnsi="Arial" w:cs="Arial"/>
        </w:rPr>
        <w:t>tau=0.46</w:t>
      </w:r>
      <w:r w:rsidR="00993476">
        <w:rPr>
          <w:rFonts w:ascii="Arial" w:hAnsi="Arial" w:cs="Arial"/>
        </w:rPr>
        <w:t>;</w:t>
      </w:r>
      <w:r w:rsidR="00650A9F" w:rsidRPr="00650A9F">
        <w:rPr>
          <w:rFonts w:ascii="Arial" w:hAnsi="Arial" w:cs="Arial"/>
        </w:rPr>
        <w:t>p&lt;</w:t>
      </w:r>
      <w:r w:rsidR="00FF5FCE">
        <w:rPr>
          <w:rFonts w:ascii="Arial" w:hAnsi="Arial" w:cs="Arial"/>
        </w:rPr>
        <w:t>0</w:t>
      </w:r>
      <w:r w:rsidR="00650A9F" w:rsidRPr="00650A9F">
        <w:rPr>
          <w:rFonts w:ascii="Arial" w:hAnsi="Arial" w:cs="Arial"/>
        </w:rPr>
        <w:t xml:space="preserve">.001), a negative relationship between </w:t>
      </w:r>
      <w:r w:rsidR="0097053C">
        <w:rPr>
          <w:rFonts w:ascii="Arial" w:hAnsi="Arial" w:cs="Arial"/>
        </w:rPr>
        <w:t>AEs</w:t>
      </w:r>
      <w:r w:rsidR="00650A9F" w:rsidRPr="00650A9F">
        <w:rPr>
          <w:rFonts w:ascii="Arial" w:hAnsi="Arial" w:cs="Arial"/>
        </w:rPr>
        <w:t xml:space="preserve"> </w:t>
      </w:r>
      <w:r w:rsidR="0097053C">
        <w:rPr>
          <w:rFonts w:ascii="Arial" w:hAnsi="Arial" w:cs="Arial"/>
        </w:rPr>
        <w:t>following</w:t>
      </w:r>
      <w:r w:rsidR="001406DB" w:rsidRPr="001406DB">
        <w:rPr>
          <w:rFonts w:ascii="Arial" w:hAnsi="Arial" w:cs="Arial"/>
          <w:bCs/>
          <w:color w:val="000000" w:themeColor="text1"/>
        </w:rPr>
        <w:t xml:space="preserve"> </w:t>
      </w:r>
      <w:r w:rsidR="0097053C">
        <w:rPr>
          <w:rFonts w:ascii="Arial" w:hAnsi="Arial" w:cs="Arial"/>
        </w:rPr>
        <w:t>doses one and three (</w:t>
      </w:r>
      <w:r w:rsidR="00650A9F" w:rsidRPr="00650A9F">
        <w:rPr>
          <w:rFonts w:ascii="Arial" w:hAnsi="Arial" w:cs="Arial"/>
        </w:rPr>
        <w:t>Kendall’s</w:t>
      </w:r>
      <w:r w:rsidR="00993476">
        <w:rPr>
          <w:rFonts w:ascii="Arial" w:hAnsi="Arial" w:cs="Arial"/>
        </w:rPr>
        <w:t>-</w:t>
      </w:r>
      <w:r w:rsidR="00650A9F" w:rsidRPr="00650A9F">
        <w:rPr>
          <w:rFonts w:ascii="Arial" w:hAnsi="Arial" w:cs="Arial"/>
        </w:rPr>
        <w:t>tau=-0.13</w:t>
      </w:r>
      <w:r w:rsidR="0097053C">
        <w:rPr>
          <w:rFonts w:ascii="Arial" w:hAnsi="Arial" w:cs="Arial"/>
        </w:rPr>
        <w:t>;</w:t>
      </w:r>
      <w:r w:rsidR="00650A9F" w:rsidRPr="00650A9F">
        <w:rPr>
          <w:rFonts w:ascii="Arial" w:hAnsi="Arial" w:cs="Arial"/>
        </w:rPr>
        <w:t>p&lt;</w:t>
      </w:r>
      <w:r w:rsidR="00FF5FCE">
        <w:rPr>
          <w:rFonts w:ascii="Arial" w:hAnsi="Arial" w:cs="Arial"/>
        </w:rPr>
        <w:t>0</w:t>
      </w:r>
      <w:r w:rsidR="00650A9F" w:rsidRPr="00650A9F">
        <w:rPr>
          <w:rFonts w:ascii="Arial" w:hAnsi="Arial" w:cs="Arial"/>
        </w:rPr>
        <w:t>.001)</w:t>
      </w:r>
      <w:r w:rsidR="0097053C">
        <w:rPr>
          <w:rFonts w:ascii="Arial" w:hAnsi="Arial" w:cs="Arial"/>
        </w:rPr>
        <w:t xml:space="preserve">, </w:t>
      </w:r>
      <w:r w:rsidR="00650A9F" w:rsidRPr="00650A9F">
        <w:rPr>
          <w:rFonts w:ascii="Arial" w:hAnsi="Arial" w:cs="Arial"/>
        </w:rPr>
        <w:t xml:space="preserve">but no relationship between </w:t>
      </w:r>
      <w:r w:rsidR="0097053C">
        <w:rPr>
          <w:rFonts w:ascii="Arial" w:hAnsi="Arial" w:cs="Arial"/>
        </w:rPr>
        <w:t>number of AEs</w:t>
      </w:r>
      <w:r w:rsidR="00650A9F" w:rsidRPr="00650A9F">
        <w:rPr>
          <w:rFonts w:ascii="Arial" w:hAnsi="Arial" w:cs="Arial"/>
        </w:rPr>
        <w:t xml:space="preserve"> </w:t>
      </w:r>
      <w:r w:rsidR="0097053C">
        <w:rPr>
          <w:rFonts w:ascii="Arial" w:hAnsi="Arial" w:cs="Arial"/>
        </w:rPr>
        <w:t>for doses two or three,</w:t>
      </w:r>
      <w:r w:rsidR="00650A9F" w:rsidRPr="00650A9F">
        <w:rPr>
          <w:rFonts w:ascii="Arial" w:hAnsi="Arial" w:cs="Arial"/>
        </w:rPr>
        <w:t xml:space="preserve"> </w:t>
      </w:r>
      <w:r w:rsidR="0097053C">
        <w:rPr>
          <w:rFonts w:ascii="Arial" w:hAnsi="Arial" w:cs="Arial"/>
        </w:rPr>
        <w:t>or</w:t>
      </w:r>
      <w:r w:rsidR="00650A9F" w:rsidRPr="00650A9F">
        <w:rPr>
          <w:rFonts w:ascii="Arial" w:hAnsi="Arial" w:cs="Arial"/>
        </w:rPr>
        <w:t xml:space="preserve"> between each of </w:t>
      </w:r>
      <w:r w:rsidR="0097053C">
        <w:rPr>
          <w:rFonts w:ascii="Arial" w:hAnsi="Arial" w:cs="Arial"/>
        </w:rPr>
        <w:t>dose</w:t>
      </w:r>
      <w:r w:rsidR="001406DB">
        <w:rPr>
          <w:rFonts w:ascii="Arial" w:hAnsi="Arial" w:cs="Arial"/>
        </w:rPr>
        <w:t>s</w:t>
      </w:r>
      <w:r w:rsidR="0097053C">
        <w:rPr>
          <w:rFonts w:ascii="Arial" w:hAnsi="Arial" w:cs="Arial"/>
        </w:rPr>
        <w:t xml:space="preserve"> two and three, and</w:t>
      </w:r>
      <w:r w:rsidR="00650A9F" w:rsidRPr="00650A9F">
        <w:rPr>
          <w:rFonts w:ascii="Arial" w:hAnsi="Arial" w:cs="Arial"/>
        </w:rPr>
        <w:t xml:space="preserve"> </w:t>
      </w:r>
      <w:r w:rsidR="0097053C">
        <w:rPr>
          <w:rFonts w:ascii="Arial" w:hAnsi="Arial" w:cs="Arial"/>
        </w:rPr>
        <w:t xml:space="preserve">the number of </w:t>
      </w:r>
      <w:r w:rsidR="00A62730">
        <w:rPr>
          <w:rFonts w:ascii="Arial" w:hAnsi="Arial" w:cs="Arial"/>
        </w:rPr>
        <w:t xml:space="preserve">influenza </w:t>
      </w:r>
      <w:r w:rsidR="0097053C">
        <w:rPr>
          <w:rFonts w:ascii="Arial" w:hAnsi="Arial" w:cs="Arial"/>
        </w:rPr>
        <w:t>AEs reported</w:t>
      </w:r>
      <w:r w:rsidR="00650A9F" w:rsidRPr="00650A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0A9F" w:rsidRPr="00650A9F">
        <w:rPr>
          <w:rFonts w:ascii="Arial" w:hAnsi="Arial" w:cs="Arial"/>
        </w:rPr>
        <w:t>There were no significant differences in</w:t>
      </w:r>
      <w:r w:rsidR="0097053C">
        <w:rPr>
          <w:rFonts w:ascii="Arial" w:hAnsi="Arial" w:cs="Arial"/>
        </w:rPr>
        <w:t xml:space="preserve"> number of AEs </w:t>
      </w:r>
      <w:r w:rsidR="00650A9F" w:rsidRPr="00650A9F">
        <w:rPr>
          <w:rFonts w:ascii="Arial" w:hAnsi="Arial" w:cs="Arial"/>
        </w:rPr>
        <w:t xml:space="preserve">reported </w:t>
      </w:r>
      <w:r w:rsidR="0097053C">
        <w:rPr>
          <w:rFonts w:ascii="Arial" w:hAnsi="Arial" w:cs="Arial"/>
        </w:rPr>
        <w:t>by male versus female HCWs, as</w:t>
      </w:r>
      <w:r w:rsidR="00650A9F" w:rsidRPr="00650A9F">
        <w:rPr>
          <w:rFonts w:ascii="Arial" w:hAnsi="Arial" w:cs="Arial"/>
        </w:rPr>
        <w:t xml:space="preserve"> shown in </w:t>
      </w:r>
      <w:r>
        <w:rPr>
          <w:rFonts w:ascii="Arial" w:hAnsi="Arial" w:cs="Arial"/>
        </w:rPr>
        <w:t>Table 1.</w:t>
      </w:r>
      <w:r w:rsidR="00650A9F" w:rsidRPr="00650A9F">
        <w:rPr>
          <w:rFonts w:ascii="Arial" w:hAnsi="Arial" w:cs="Arial"/>
        </w:rPr>
        <w:t xml:space="preserve"> </w:t>
      </w:r>
    </w:p>
    <w:p w14:paraId="759DC395" w14:textId="77777777" w:rsidR="00A1216B" w:rsidRDefault="00A1216B" w:rsidP="00F71A96">
      <w:pPr>
        <w:spacing w:line="480" w:lineRule="auto"/>
        <w:jc w:val="both"/>
        <w:rPr>
          <w:rFonts w:ascii="Arial" w:hAnsi="Arial" w:cs="Arial"/>
        </w:rPr>
      </w:pPr>
    </w:p>
    <w:p w14:paraId="49C6E7E1" w14:textId="3AE1007E" w:rsidR="00650A9F" w:rsidRDefault="00C147C9" w:rsidP="00F71A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47C9">
        <w:rPr>
          <w:rFonts w:ascii="Arial" w:hAnsi="Arial" w:cs="Arial"/>
        </w:rPr>
        <w:t xml:space="preserve">Insert Table 1 </w:t>
      </w:r>
      <w:r w:rsidR="001406DB">
        <w:rPr>
          <w:rFonts w:ascii="Arial" w:hAnsi="Arial" w:cs="Arial"/>
        </w:rPr>
        <w:t>–</w:t>
      </w:r>
      <w:r w:rsidRPr="00C147C9">
        <w:rPr>
          <w:rFonts w:ascii="Arial" w:hAnsi="Arial" w:cs="Arial"/>
        </w:rPr>
        <w:t xml:space="preserve"> </w:t>
      </w:r>
    </w:p>
    <w:p w14:paraId="0A939D42" w14:textId="77777777" w:rsidR="001406DB" w:rsidRPr="00E10013" w:rsidRDefault="001406DB" w:rsidP="00650A9F">
      <w:pPr>
        <w:jc w:val="both"/>
        <w:rPr>
          <w:rFonts w:ascii="Arial" w:hAnsi="Arial" w:cs="Arial"/>
          <w:color w:val="FF0000"/>
        </w:rPr>
      </w:pPr>
    </w:p>
    <w:p w14:paraId="2CF1CB76" w14:textId="58EB459F" w:rsidR="00554922" w:rsidRPr="00C31A10" w:rsidRDefault="001406DB" w:rsidP="001406DB">
      <w:pPr>
        <w:spacing w:line="480" w:lineRule="auto"/>
        <w:jc w:val="both"/>
        <w:rPr>
          <w:rFonts w:ascii="Arial" w:hAnsi="Arial" w:cs="Arial"/>
          <w:color w:val="FF0000"/>
        </w:rPr>
      </w:pPr>
      <w:r w:rsidRPr="004420A0">
        <w:rPr>
          <w:rFonts w:ascii="Arial" w:hAnsi="Arial" w:cs="Arial"/>
          <w:color w:val="000000" w:themeColor="text1"/>
        </w:rPr>
        <w:t>For</w:t>
      </w:r>
      <w:r w:rsidR="005F59A9" w:rsidRPr="004420A0">
        <w:rPr>
          <w:rFonts w:ascii="Arial" w:hAnsi="Arial" w:cs="Arial"/>
          <w:color w:val="000000" w:themeColor="text1"/>
        </w:rPr>
        <w:t xml:space="preserve"> occurrence of one o</w:t>
      </w:r>
      <w:r w:rsidR="00993476">
        <w:rPr>
          <w:rFonts w:ascii="Arial" w:hAnsi="Arial" w:cs="Arial"/>
          <w:color w:val="000000" w:themeColor="text1"/>
        </w:rPr>
        <w:t>r</w:t>
      </w:r>
      <w:r w:rsidR="005F59A9" w:rsidRPr="004420A0">
        <w:rPr>
          <w:rFonts w:ascii="Arial" w:hAnsi="Arial" w:cs="Arial"/>
          <w:color w:val="000000" w:themeColor="text1"/>
        </w:rPr>
        <w:t xml:space="preserve"> more</w:t>
      </w:r>
      <w:r w:rsidRPr="004420A0">
        <w:rPr>
          <w:rFonts w:ascii="Arial" w:hAnsi="Arial" w:cs="Arial"/>
          <w:color w:val="000000" w:themeColor="text1"/>
        </w:rPr>
        <w:t xml:space="preserve"> moderate</w:t>
      </w:r>
      <w:r w:rsidR="00993476">
        <w:rPr>
          <w:rFonts w:ascii="Arial" w:hAnsi="Arial" w:cs="Arial"/>
          <w:color w:val="000000" w:themeColor="text1"/>
        </w:rPr>
        <w:t>/</w:t>
      </w:r>
      <w:r w:rsidRPr="004420A0">
        <w:rPr>
          <w:rFonts w:ascii="Arial" w:hAnsi="Arial" w:cs="Arial"/>
          <w:color w:val="000000" w:themeColor="text1"/>
        </w:rPr>
        <w:t xml:space="preserve">severe AEs, </w:t>
      </w:r>
      <w:r w:rsidRPr="00E10013">
        <w:rPr>
          <w:rFonts w:ascii="Arial" w:hAnsi="Arial" w:cs="Arial"/>
          <w:color w:val="000000" w:themeColor="text1"/>
        </w:rPr>
        <w:t>t</w:t>
      </w:r>
      <w:r w:rsidR="00650A9F" w:rsidRPr="00E10013">
        <w:rPr>
          <w:rFonts w:ascii="Arial" w:hAnsi="Arial" w:cs="Arial"/>
          <w:color w:val="000000" w:themeColor="text1"/>
        </w:rPr>
        <w:t xml:space="preserve">here was a significant association with previous </w:t>
      </w:r>
      <w:r w:rsidRPr="00E10013">
        <w:rPr>
          <w:rFonts w:ascii="Arial" w:hAnsi="Arial" w:cs="Arial"/>
          <w:color w:val="000000" w:themeColor="text1"/>
        </w:rPr>
        <w:t>COVID-19 and</w:t>
      </w:r>
      <w:r w:rsidR="00650A9F" w:rsidRPr="00E10013">
        <w:rPr>
          <w:rFonts w:ascii="Arial" w:hAnsi="Arial" w:cs="Arial"/>
          <w:color w:val="000000" w:themeColor="text1"/>
        </w:rPr>
        <w:t xml:space="preserve"> </w:t>
      </w:r>
      <w:r w:rsidRPr="00E10013">
        <w:rPr>
          <w:rFonts w:ascii="Arial" w:hAnsi="Arial" w:cs="Arial"/>
          <w:bCs/>
          <w:color w:val="000000" w:themeColor="text1"/>
        </w:rPr>
        <w:t xml:space="preserve">BNT162b2/Pfizer </w:t>
      </w:r>
      <w:r w:rsidRPr="00E10013">
        <w:rPr>
          <w:rFonts w:ascii="Arial" w:hAnsi="Arial" w:cs="Arial"/>
          <w:color w:val="000000" w:themeColor="text1"/>
        </w:rPr>
        <w:t xml:space="preserve">dose one </w:t>
      </w:r>
      <w:r w:rsidR="00650A9F" w:rsidRPr="00E10013">
        <w:rPr>
          <w:rFonts w:ascii="Arial" w:hAnsi="Arial" w:cs="Arial"/>
          <w:color w:val="000000" w:themeColor="text1"/>
        </w:rPr>
        <w:t>(O.R.</w:t>
      </w:r>
      <w:r w:rsidR="00A62730">
        <w:rPr>
          <w:rFonts w:ascii="Arial" w:hAnsi="Arial" w:cs="Arial"/>
          <w:color w:val="000000" w:themeColor="text1"/>
        </w:rPr>
        <w:t>-</w:t>
      </w:r>
      <w:r w:rsidR="00650A9F" w:rsidRPr="00E10013">
        <w:rPr>
          <w:rFonts w:ascii="Arial" w:hAnsi="Arial" w:cs="Arial"/>
          <w:color w:val="000000" w:themeColor="text1"/>
        </w:rPr>
        <w:t>1.64[1.13–2.38]</w:t>
      </w:r>
      <w:r w:rsidRPr="00E10013">
        <w:rPr>
          <w:rFonts w:ascii="Arial" w:hAnsi="Arial" w:cs="Arial"/>
          <w:color w:val="000000" w:themeColor="text1"/>
        </w:rPr>
        <w:t>;</w:t>
      </w:r>
      <w:r w:rsidR="00650A9F" w:rsidRPr="00E10013">
        <w:rPr>
          <w:rFonts w:ascii="Arial" w:hAnsi="Arial" w:cs="Arial"/>
          <w:color w:val="000000" w:themeColor="text1"/>
        </w:rPr>
        <w:t xml:space="preserve">p=0.011), dose </w:t>
      </w:r>
      <w:r w:rsidRPr="00E10013">
        <w:rPr>
          <w:rFonts w:ascii="Arial" w:hAnsi="Arial" w:cs="Arial"/>
          <w:color w:val="000000" w:themeColor="text1"/>
        </w:rPr>
        <w:t xml:space="preserve">two </w:t>
      </w:r>
      <w:r w:rsidR="00650A9F" w:rsidRPr="00E10013">
        <w:rPr>
          <w:rFonts w:ascii="Arial" w:hAnsi="Arial" w:cs="Arial"/>
          <w:color w:val="000000" w:themeColor="text1"/>
        </w:rPr>
        <w:t>(O.R.</w:t>
      </w:r>
      <w:r w:rsidR="00A62730">
        <w:rPr>
          <w:rFonts w:ascii="Arial" w:hAnsi="Arial" w:cs="Arial"/>
          <w:color w:val="000000" w:themeColor="text1"/>
        </w:rPr>
        <w:t>-</w:t>
      </w:r>
      <w:r w:rsidR="00650A9F" w:rsidRPr="00E10013">
        <w:rPr>
          <w:rFonts w:ascii="Arial" w:hAnsi="Arial" w:cs="Arial"/>
          <w:color w:val="000000" w:themeColor="text1"/>
        </w:rPr>
        <w:t>1.63[1.12–2.35]</w:t>
      </w:r>
      <w:r w:rsidRPr="00E10013">
        <w:rPr>
          <w:rFonts w:ascii="Arial" w:hAnsi="Arial" w:cs="Arial"/>
          <w:color w:val="000000" w:themeColor="text1"/>
        </w:rPr>
        <w:t>;</w:t>
      </w:r>
      <w:r w:rsidR="00650A9F" w:rsidRPr="00E10013">
        <w:rPr>
          <w:rFonts w:ascii="Arial" w:hAnsi="Arial" w:cs="Arial"/>
          <w:color w:val="000000" w:themeColor="text1"/>
        </w:rPr>
        <w:t>p=0.011</w:t>
      </w:r>
      <w:r w:rsidRPr="00E10013">
        <w:rPr>
          <w:rFonts w:ascii="Arial" w:hAnsi="Arial" w:cs="Arial"/>
          <w:color w:val="000000" w:themeColor="text1"/>
        </w:rPr>
        <w:t xml:space="preserve">), </w:t>
      </w:r>
      <w:r w:rsidR="00650A9F" w:rsidRPr="00E10013">
        <w:rPr>
          <w:rFonts w:ascii="Arial" w:hAnsi="Arial" w:cs="Arial"/>
          <w:color w:val="000000" w:themeColor="text1"/>
        </w:rPr>
        <w:t xml:space="preserve">dose </w:t>
      </w:r>
      <w:r w:rsidRPr="00E10013">
        <w:rPr>
          <w:rFonts w:ascii="Arial" w:hAnsi="Arial" w:cs="Arial"/>
          <w:color w:val="000000" w:themeColor="text1"/>
        </w:rPr>
        <w:t>three</w:t>
      </w:r>
      <w:r w:rsidR="00650A9F" w:rsidRPr="00E10013">
        <w:rPr>
          <w:rFonts w:ascii="Arial" w:hAnsi="Arial" w:cs="Arial"/>
          <w:color w:val="000000" w:themeColor="text1"/>
        </w:rPr>
        <w:t xml:space="preserve"> (O.R.</w:t>
      </w:r>
      <w:r w:rsidR="0068750B">
        <w:rPr>
          <w:rFonts w:ascii="Arial" w:hAnsi="Arial" w:cs="Arial"/>
          <w:color w:val="000000" w:themeColor="text1"/>
        </w:rPr>
        <w:t>-</w:t>
      </w:r>
      <w:r w:rsidR="00650A9F" w:rsidRPr="00E10013">
        <w:rPr>
          <w:rFonts w:ascii="Arial" w:hAnsi="Arial" w:cs="Arial"/>
          <w:color w:val="000000" w:themeColor="text1"/>
        </w:rPr>
        <w:t>2.44[1.67–3.55]</w:t>
      </w:r>
      <w:r w:rsidRPr="00E10013">
        <w:rPr>
          <w:rFonts w:ascii="Arial" w:hAnsi="Arial" w:cs="Arial"/>
          <w:color w:val="000000" w:themeColor="text1"/>
        </w:rPr>
        <w:t>;</w:t>
      </w:r>
      <w:r w:rsidR="00650A9F" w:rsidRPr="00E10013">
        <w:rPr>
          <w:rFonts w:ascii="Arial" w:hAnsi="Arial" w:cs="Arial"/>
          <w:color w:val="000000" w:themeColor="text1"/>
        </w:rPr>
        <w:t>p&lt;0.001</w:t>
      </w:r>
      <w:r w:rsidRPr="00E10013">
        <w:rPr>
          <w:rFonts w:ascii="Arial" w:hAnsi="Arial" w:cs="Arial"/>
          <w:color w:val="000000" w:themeColor="text1"/>
        </w:rPr>
        <w:t>),</w:t>
      </w:r>
      <w:r w:rsidR="002A74A4">
        <w:rPr>
          <w:rFonts w:ascii="Arial" w:hAnsi="Arial" w:cs="Arial"/>
          <w:color w:val="000000" w:themeColor="text1"/>
        </w:rPr>
        <w:t xml:space="preserve"> </w:t>
      </w:r>
      <w:r w:rsidRPr="00E10013">
        <w:rPr>
          <w:rFonts w:ascii="Arial" w:hAnsi="Arial" w:cs="Arial"/>
          <w:color w:val="000000" w:themeColor="text1"/>
        </w:rPr>
        <w:t>and</w:t>
      </w:r>
      <w:r w:rsidR="00650A9F" w:rsidRPr="00E10013">
        <w:rPr>
          <w:rFonts w:ascii="Arial" w:hAnsi="Arial" w:cs="Arial"/>
          <w:color w:val="000000" w:themeColor="text1"/>
        </w:rPr>
        <w:t xml:space="preserve"> between </w:t>
      </w:r>
      <w:r w:rsidRPr="00E10013">
        <w:rPr>
          <w:rFonts w:ascii="Arial" w:hAnsi="Arial" w:cs="Arial"/>
          <w:color w:val="000000" w:themeColor="text1"/>
        </w:rPr>
        <w:t xml:space="preserve">previous history of COVID-19 and </w:t>
      </w:r>
      <w:r w:rsidR="003E6494">
        <w:rPr>
          <w:rFonts w:ascii="Arial" w:hAnsi="Arial" w:cs="Arial"/>
          <w:color w:val="000000" w:themeColor="text1"/>
        </w:rPr>
        <w:t>occurrence</w:t>
      </w:r>
      <w:r w:rsidR="003E6494" w:rsidRPr="00E10013">
        <w:rPr>
          <w:rFonts w:ascii="Arial" w:hAnsi="Arial" w:cs="Arial"/>
          <w:color w:val="000000" w:themeColor="text1"/>
        </w:rPr>
        <w:t xml:space="preserve"> </w:t>
      </w:r>
      <w:r w:rsidRPr="00E10013">
        <w:rPr>
          <w:rFonts w:ascii="Arial" w:hAnsi="Arial" w:cs="Arial"/>
          <w:color w:val="000000" w:themeColor="text1"/>
        </w:rPr>
        <w:t xml:space="preserve">of AEs following the </w:t>
      </w:r>
      <w:r w:rsidR="00A62730">
        <w:rPr>
          <w:rFonts w:ascii="Arial" w:hAnsi="Arial" w:cs="Arial"/>
          <w:color w:val="000000" w:themeColor="text1"/>
        </w:rPr>
        <w:t>i</w:t>
      </w:r>
      <w:r w:rsidR="00A62730" w:rsidRPr="00E10013">
        <w:rPr>
          <w:rFonts w:ascii="Arial" w:hAnsi="Arial" w:cs="Arial"/>
          <w:color w:val="000000" w:themeColor="text1"/>
        </w:rPr>
        <w:t xml:space="preserve">nfluenza </w:t>
      </w:r>
      <w:r w:rsidRPr="00E10013">
        <w:rPr>
          <w:rFonts w:ascii="Arial" w:hAnsi="Arial" w:cs="Arial"/>
          <w:color w:val="000000" w:themeColor="text1"/>
        </w:rPr>
        <w:t>vaccine</w:t>
      </w:r>
      <w:r w:rsidR="00650A9F" w:rsidRPr="00E10013">
        <w:rPr>
          <w:rFonts w:ascii="Arial" w:hAnsi="Arial" w:cs="Arial"/>
          <w:color w:val="000000" w:themeColor="text1"/>
        </w:rPr>
        <w:t xml:space="preserve"> (O.R.</w:t>
      </w:r>
      <w:r w:rsidR="0068750B">
        <w:rPr>
          <w:rFonts w:ascii="Arial" w:hAnsi="Arial" w:cs="Arial"/>
          <w:color w:val="000000" w:themeColor="text1"/>
        </w:rPr>
        <w:t>-</w:t>
      </w:r>
      <w:r w:rsidR="00650A9F" w:rsidRPr="00E10013">
        <w:rPr>
          <w:rFonts w:ascii="Arial" w:hAnsi="Arial" w:cs="Arial"/>
          <w:color w:val="000000" w:themeColor="text1"/>
        </w:rPr>
        <w:t>1.88[1.25–2.82]</w:t>
      </w:r>
      <w:r w:rsidRPr="00E10013">
        <w:rPr>
          <w:rFonts w:ascii="Arial" w:hAnsi="Arial" w:cs="Arial"/>
          <w:color w:val="000000" w:themeColor="text1"/>
        </w:rPr>
        <w:t>;</w:t>
      </w:r>
      <w:r w:rsidR="00650A9F" w:rsidRPr="00E10013">
        <w:rPr>
          <w:rFonts w:ascii="Arial" w:hAnsi="Arial" w:cs="Arial"/>
          <w:color w:val="000000" w:themeColor="text1"/>
        </w:rPr>
        <w:t>p=0.002).</w:t>
      </w:r>
      <w:r w:rsidR="00C31A10">
        <w:rPr>
          <w:rFonts w:ascii="Arial" w:hAnsi="Arial" w:cs="Arial"/>
          <w:color w:val="FF0000"/>
        </w:rPr>
        <w:t xml:space="preserve"> </w:t>
      </w:r>
      <w:r w:rsidR="00650A9F" w:rsidRPr="00650A9F">
        <w:rPr>
          <w:rFonts w:ascii="Arial" w:hAnsi="Arial" w:cs="Arial"/>
        </w:rPr>
        <w:t xml:space="preserve">To investigate the effect </w:t>
      </w:r>
      <w:r>
        <w:rPr>
          <w:rFonts w:ascii="Arial" w:hAnsi="Arial" w:cs="Arial"/>
        </w:rPr>
        <w:t>of prior COVID-19</w:t>
      </w:r>
      <w:r w:rsidR="00650A9F" w:rsidRPr="00650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3E6494">
        <w:rPr>
          <w:rFonts w:ascii="Arial" w:hAnsi="Arial" w:cs="Arial"/>
        </w:rPr>
        <w:t xml:space="preserve">number </w:t>
      </w:r>
      <w:r>
        <w:rPr>
          <w:rFonts w:ascii="Arial" w:hAnsi="Arial" w:cs="Arial"/>
        </w:rPr>
        <w:t>of AEs following</w:t>
      </w:r>
      <w:r w:rsidR="00650A9F" w:rsidRPr="00650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three</w:t>
      </w:r>
      <w:r w:rsidR="00650A9F" w:rsidRPr="00650A9F">
        <w:rPr>
          <w:rFonts w:ascii="Arial" w:hAnsi="Arial" w:cs="Arial"/>
        </w:rPr>
        <w:t xml:space="preserve"> </w:t>
      </w:r>
      <w:r w:rsidR="00BC1B14" w:rsidRPr="0023648B">
        <w:rPr>
          <w:rFonts w:ascii="Arial" w:hAnsi="Arial" w:cs="Arial"/>
          <w:bCs/>
          <w:color w:val="000000" w:themeColor="text1"/>
        </w:rPr>
        <w:t>BNT162b2/Pfizer</w:t>
      </w:r>
      <w:r w:rsidR="00BC1B14" w:rsidRPr="00650A9F">
        <w:rPr>
          <w:rFonts w:ascii="Arial" w:hAnsi="Arial" w:cs="Arial"/>
        </w:rPr>
        <w:t xml:space="preserve"> </w:t>
      </w:r>
      <w:r w:rsidR="00650A9F" w:rsidRPr="00650A9F">
        <w:rPr>
          <w:rFonts w:ascii="Arial" w:hAnsi="Arial" w:cs="Arial"/>
        </w:rPr>
        <w:t>vaccines</w:t>
      </w:r>
      <w:r>
        <w:rPr>
          <w:rFonts w:ascii="Arial" w:hAnsi="Arial" w:cs="Arial"/>
        </w:rPr>
        <w:t xml:space="preserve">, a two-by-three </w:t>
      </w:r>
      <w:r w:rsidR="00650A9F" w:rsidRPr="00650A9F">
        <w:rPr>
          <w:rFonts w:ascii="Arial" w:hAnsi="Arial" w:cs="Arial"/>
        </w:rPr>
        <w:t>(</w:t>
      </w:r>
      <w:r w:rsidR="006832A9">
        <w:rPr>
          <w:rFonts w:ascii="Arial" w:hAnsi="Arial" w:cs="Arial"/>
        </w:rPr>
        <w:t>AEs</w:t>
      </w:r>
      <w:r w:rsidR="00650A9F" w:rsidRPr="00650A9F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vaccine</w:t>
      </w:r>
      <w:r w:rsidR="00650A9F" w:rsidRPr="00650A9F">
        <w:rPr>
          <w:rFonts w:ascii="Arial" w:hAnsi="Arial" w:cs="Arial"/>
        </w:rPr>
        <w:t xml:space="preserve"> dose) ANOVA was performed. Age and gender were not used as covariates here given the </w:t>
      </w:r>
      <w:r w:rsidRPr="00650A9F">
        <w:rPr>
          <w:rFonts w:ascii="Arial" w:hAnsi="Arial" w:cs="Arial"/>
        </w:rPr>
        <w:t>non-significan</w:t>
      </w:r>
      <w:r>
        <w:rPr>
          <w:rFonts w:ascii="Arial" w:hAnsi="Arial" w:cs="Arial"/>
        </w:rPr>
        <w:t>ce of</w:t>
      </w:r>
      <w:r w:rsidR="00650A9F" w:rsidRPr="00650A9F">
        <w:rPr>
          <w:rFonts w:ascii="Arial" w:hAnsi="Arial" w:cs="Arial"/>
        </w:rPr>
        <w:t xml:space="preserve"> relationships </w:t>
      </w:r>
      <w:r>
        <w:rPr>
          <w:rFonts w:ascii="Arial" w:hAnsi="Arial" w:cs="Arial"/>
        </w:rPr>
        <w:t xml:space="preserve">identified </w:t>
      </w:r>
      <w:r w:rsidR="00650A9F" w:rsidRPr="00650A9F">
        <w:rPr>
          <w:rFonts w:ascii="Arial" w:hAnsi="Arial" w:cs="Arial"/>
        </w:rPr>
        <w:t>with doses</w:t>
      </w:r>
      <w:r>
        <w:rPr>
          <w:rFonts w:ascii="Arial" w:hAnsi="Arial" w:cs="Arial"/>
        </w:rPr>
        <w:t xml:space="preserve"> one and two, as</w:t>
      </w:r>
      <w:r w:rsidR="00650A9F" w:rsidRPr="00650A9F">
        <w:rPr>
          <w:rFonts w:ascii="Arial" w:hAnsi="Arial" w:cs="Arial"/>
        </w:rPr>
        <w:t xml:space="preserve"> described above. There </w:t>
      </w:r>
      <w:r>
        <w:rPr>
          <w:rFonts w:ascii="Arial" w:hAnsi="Arial" w:cs="Arial"/>
        </w:rPr>
        <w:t>was</w:t>
      </w:r>
      <w:r w:rsidR="00650A9F" w:rsidRPr="00650A9F">
        <w:rPr>
          <w:rFonts w:ascii="Arial" w:hAnsi="Arial" w:cs="Arial"/>
        </w:rPr>
        <w:t xml:space="preserve"> an overall main effect of </w:t>
      </w:r>
      <w:r>
        <w:rPr>
          <w:rFonts w:ascii="Arial" w:hAnsi="Arial" w:cs="Arial"/>
        </w:rPr>
        <w:t>prior</w:t>
      </w:r>
      <w:r w:rsidR="00764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COVID-19 </w:t>
      </w:r>
      <w:r w:rsidR="00650A9F" w:rsidRPr="00650A9F">
        <w:rPr>
          <w:rFonts w:ascii="Arial" w:hAnsi="Arial" w:cs="Arial"/>
        </w:rPr>
        <w:t>(</w:t>
      </w:r>
      <w:proofErr w:type="gramStart"/>
      <w:r w:rsidR="00650A9F" w:rsidRPr="00650A9F">
        <w:rPr>
          <w:rFonts w:ascii="Arial" w:hAnsi="Arial" w:cs="Arial"/>
        </w:rPr>
        <w:t>F(</w:t>
      </w:r>
      <w:proofErr w:type="gramEnd"/>
      <w:r w:rsidR="00650A9F" w:rsidRPr="00650A9F">
        <w:rPr>
          <w:rFonts w:ascii="Arial" w:hAnsi="Arial" w:cs="Arial"/>
        </w:rPr>
        <w:t>1.8, 957.7)=48.63</w:t>
      </w:r>
      <w:r>
        <w:rPr>
          <w:rFonts w:ascii="Arial" w:hAnsi="Arial" w:cs="Arial"/>
        </w:rPr>
        <w:t>;</w:t>
      </w:r>
      <w:r w:rsidR="00650A9F" w:rsidRPr="00650A9F">
        <w:rPr>
          <w:rFonts w:ascii="Arial" w:hAnsi="Arial" w:cs="Arial"/>
        </w:rPr>
        <w:t>p&lt;</w:t>
      </w:r>
      <w:r w:rsidR="006C5807">
        <w:rPr>
          <w:rFonts w:ascii="Arial" w:hAnsi="Arial" w:cs="Arial"/>
        </w:rPr>
        <w:t>0</w:t>
      </w:r>
      <w:r w:rsidR="00650A9F" w:rsidRPr="00650A9F">
        <w:rPr>
          <w:rFonts w:ascii="Arial" w:hAnsi="Arial" w:cs="Arial"/>
        </w:rPr>
        <w:t>.001)</w:t>
      </w:r>
      <w:r>
        <w:rPr>
          <w:rFonts w:ascii="Arial" w:hAnsi="Arial" w:cs="Arial"/>
        </w:rPr>
        <w:t xml:space="preserve">, whereby HCWs with </w:t>
      </w:r>
      <w:r w:rsidR="00315180">
        <w:rPr>
          <w:rFonts w:ascii="Arial" w:hAnsi="Arial" w:cs="Arial"/>
        </w:rPr>
        <w:t>prior</w:t>
      </w:r>
      <w:r w:rsidR="00764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COVID-19 reported </w:t>
      </w:r>
      <w:r w:rsidR="00650A9F" w:rsidRPr="00650A9F">
        <w:rPr>
          <w:rFonts w:ascii="Arial" w:hAnsi="Arial" w:cs="Arial"/>
        </w:rPr>
        <w:t xml:space="preserve"> 2.59 [2.39–2.79] versus 1.91[1.71–2.12] </w:t>
      </w:r>
      <w:r w:rsidR="006832A9">
        <w:rPr>
          <w:rFonts w:ascii="Arial" w:hAnsi="Arial" w:cs="Arial"/>
        </w:rPr>
        <w:t>AEs</w:t>
      </w:r>
      <w:r w:rsidR="005F30DB">
        <w:rPr>
          <w:rFonts w:ascii="Arial" w:hAnsi="Arial" w:cs="Arial"/>
        </w:rPr>
        <w:t xml:space="preserve"> (Fig 1</w:t>
      </w:r>
      <w:r w:rsidR="00235927">
        <w:rPr>
          <w:rFonts w:ascii="Arial" w:hAnsi="Arial" w:cs="Arial"/>
        </w:rPr>
        <w:t>A</w:t>
      </w:r>
      <w:r w:rsidR="005F30DB">
        <w:rPr>
          <w:rFonts w:ascii="Arial" w:hAnsi="Arial" w:cs="Arial"/>
        </w:rPr>
        <w:t>)</w:t>
      </w:r>
      <w:r w:rsidR="00650A9F" w:rsidRPr="00650A9F">
        <w:rPr>
          <w:rFonts w:ascii="Arial" w:hAnsi="Arial" w:cs="Arial"/>
        </w:rPr>
        <w:t xml:space="preserve">. There </w:t>
      </w:r>
      <w:r w:rsidR="00554922">
        <w:rPr>
          <w:rFonts w:ascii="Arial" w:hAnsi="Arial" w:cs="Arial"/>
        </w:rPr>
        <w:t xml:space="preserve">was </w:t>
      </w:r>
      <w:r w:rsidR="00650A9F" w:rsidRPr="00650A9F">
        <w:rPr>
          <w:rFonts w:ascii="Arial" w:hAnsi="Arial" w:cs="Arial"/>
        </w:rPr>
        <w:t xml:space="preserve">a significant difference </w:t>
      </w:r>
      <w:r w:rsidR="00554922">
        <w:rPr>
          <w:rFonts w:ascii="Arial" w:hAnsi="Arial" w:cs="Arial"/>
        </w:rPr>
        <w:t>in number of AEs</w:t>
      </w:r>
      <w:r w:rsidR="00650A9F" w:rsidRPr="00650A9F">
        <w:rPr>
          <w:rFonts w:ascii="Arial" w:hAnsi="Arial" w:cs="Arial"/>
        </w:rPr>
        <w:t xml:space="preserve"> reported </w:t>
      </w:r>
      <w:r w:rsidR="00554922">
        <w:rPr>
          <w:rFonts w:ascii="Arial" w:hAnsi="Arial" w:cs="Arial"/>
        </w:rPr>
        <w:t xml:space="preserve">following </w:t>
      </w:r>
      <w:r w:rsidR="00650A9F" w:rsidRPr="00650A9F">
        <w:rPr>
          <w:rFonts w:ascii="Arial" w:hAnsi="Arial" w:cs="Arial"/>
        </w:rPr>
        <w:t xml:space="preserve">dose </w:t>
      </w:r>
      <w:r w:rsidR="00554922">
        <w:rPr>
          <w:rFonts w:ascii="Arial" w:hAnsi="Arial" w:cs="Arial"/>
        </w:rPr>
        <w:t xml:space="preserve">one </w:t>
      </w:r>
      <w:r w:rsidR="00650A9F" w:rsidRPr="00650A9F">
        <w:rPr>
          <w:rFonts w:ascii="Arial" w:hAnsi="Arial" w:cs="Arial"/>
        </w:rPr>
        <w:t>(F(1,527)=19.93</w:t>
      </w:r>
      <w:r w:rsidR="002A74A4">
        <w:rPr>
          <w:rFonts w:ascii="Arial" w:hAnsi="Arial" w:cs="Arial"/>
        </w:rPr>
        <w:t>;</w:t>
      </w:r>
      <w:r w:rsidR="00650A9F" w:rsidRPr="00650A9F">
        <w:rPr>
          <w:rFonts w:ascii="Arial" w:hAnsi="Arial" w:cs="Arial"/>
        </w:rPr>
        <w:t>p&lt;0.001)</w:t>
      </w:r>
      <w:r w:rsidR="00554922">
        <w:rPr>
          <w:rFonts w:ascii="Arial" w:hAnsi="Arial" w:cs="Arial"/>
        </w:rPr>
        <w:t xml:space="preserve">, </w:t>
      </w:r>
      <w:r w:rsidR="00650A9F" w:rsidRPr="00650A9F">
        <w:rPr>
          <w:rFonts w:ascii="Arial" w:hAnsi="Arial" w:cs="Arial"/>
        </w:rPr>
        <w:t>with post</w:t>
      </w:r>
      <w:r w:rsidR="00554922">
        <w:rPr>
          <w:rFonts w:ascii="Arial" w:hAnsi="Arial" w:cs="Arial"/>
        </w:rPr>
        <w:t>-</w:t>
      </w:r>
      <w:r w:rsidR="00650A9F" w:rsidRPr="00650A9F">
        <w:rPr>
          <w:rFonts w:ascii="Arial" w:hAnsi="Arial" w:cs="Arial"/>
        </w:rPr>
        <w:t>hoc testing (Bonferroni</w:t>
      </w:r>
      <w:r w:rsidR="002A74A4">
        <w:rPr>
          <w:rFonts w:ascii="Arial" w:hAnsi="Arial" w:cs="Arial"/>
        </w:rPr>
        <w:t>-</w:t>
      </w:r>
      <w:r w:rsidR="00650A9F" w:rsidRPr="00650A9F">
        <w:rPr>
          <w:rFonts w:ascii="Arial" w:hAnsi="Arial" w:cs="Arial"/>
        </w:rPr>
        <w:t xml:space="preserve">p&lt;0.05) demonstrating that the number of </w:t>
      </w:r>
      <w:r w:rsidR="00554922">
        <w:rPr>
          <w:rFonts w:ascii="Arial" w:hAnsi="Arial" w:cs="Arial"/>
        </w:rPr>
        <w:t>AEs</w:t>
      </w:r>
      <w:r w:rsidR="00650A9F" w:rsidRPr="00650A9F">
        <w:rPr>
          <w:rFonts w:ascii="Arial" w:hAnsi="Arial" w:cs="Arial"/>
        </w:rPr>
        <w:t xml:space="preserve"> reported for</w:t>
      </w:r>
      <w:r w:rsidR="00554922" w:rsidRPr="00554922">
        <w:rPr>
          <w:rFonts w:ascii="Arial" w:hAnsi="Arial" w:cs="Arial"/>
          <w:bCs/>
          <w:color w:val="000000" w:themeColor="text1"/>
        </w:rPr>
        <w:t xml:space="preserve"> </w:t>
      </w:r>
      <w:r w:rsidR="00554922">
        <w:rPr>
          <w:rFonts w:ascii="Arial" w:hAnsi="Arial" w:cs="Arial"/>
          <w:bCs/>
          <w:color w:val="000000" w:themeColor="text1"/>
        </w:rPr>
        <w:t>d</w:t>
      </w:r>
      <w:r w:rsidR="00650A9F" w:rsidRPr="00650A9F">
        <w:rPr>
          <w:rFonts w:ascii="Arial" w:hAnsi="Arial" w:cs="Arial"/>
        </w:rPr>
        <w:t xml:space="preserve">ose </w:t>
      </w:r>
      <w:r w:rsidR="00554922">
        <w:rPr>
          <w:rFonts w:ascii="Arial" w:hAnsi="Arial" w:cs="Arial"/>
        </w:rPr>
        <w:t>three</w:t>
      </w:r>
      <w:r w:rsidR="00650A9F" w:rsidRPr="00650A9F">
        <w:rPr>
          <w:rFonts w:ascii="Arial" w:hAnsi="Arial" w:cs="Arial"/>
        </w:rPr>
        <w:t xml:space="preserve"> (1.36 [1.14–1.59]) </w:t>
      </w:r>
      <w:r w:rsidR="00554922">
        <w:rPr>
          <w:rFonts w:ascii="Arial" w:hAnsi="Arial" w:cs="Arial"/>
        </w:rPr>
        <w:t>was</w:t>
      </w:r>
      <w:r w:rsidR="00650A9F" w:rsidRPr="00650A9F">
        <w:rPr>
          <w:rFonts w:ascii="Arial" w:hAnsi="Arial" w:cs="Arial"/>
        </w:rPr>
        <w:t xml:space="preserve"> significantly lower than reported for </w:t>
      </w:r>
      <w:r w:rsidR="00554922">
        <w:rPr>
          <w:rFonts w:ascii="Arial" w:hAnsi="Arial" w:cs="Arial"/>
          <w:bCs/>
          <w:color w:val="000000" w:themeColor="text1"/>
        </w:rPr>
        <w:t>dose one</w:t>
      </w:r>
      <w:r w:rsidR="00650A9F" w:rsidRPr="00650A9F">
        <w:rPr>
          <w:rFonts w:ascii="Arial" w:hAnsi="Arial" w:cs="Arial"/>
        </w:rPr>
        <w:t xml:space="preserve"> (2.84[2.61–3.07])</w:t>
      </w:r>
      <w:r w:rsidR="00554922">
        <w:rPr>
          <w:rFonts w:ascii="Arial" w:hAnsi="Arial" w:cs="Arial"/>
        </w:rPr>
        <w:t xml:space="preserve">, and </w:t>
      </w:r>
      <w:r w:rsidR="00650A9F" w:rsidRPr="00650A9F">
        <w:rPr>
          <w:rFonts w:ascii="Arial" w:hAnsi="Arial" w:cs="Arial"/>
        </w:rPr>
        <w:t>dose</w:t>
      </w:r>
      <w:r w:rsidR="00554922">
        <w:rPr>
          <w:rFonts w:ascii="Arial" w:hAnsi="Arial" w:cs="Arial"/>
        </w:rPr>
        <w:t xml:space="preserve"> two</w:t>
      </w:r>
      <w:r w:rsidR="00650A9F" w:rsidRPr="00650A9F">
        <w:rPr>
          <w:rFonts w:ascii="Arial" w:hAnsi="Arial" w:cs="Arial"/>
        </w:rPr>
        <w:t xml:space="preserve"> (2.55[2.32–2.78]</w:t>
      </w:r>
      <w:r w:rsidR="00554922">
        <w:rPr>
          <w:rFonts w:ascii="Arial" w:hAnsi="Arial" w:cs="Arial"/>
        </w:rPr>
        <w:t xml:space="preserve">. There was no </w:t>
      </w:r>
      <w:r w:rsidR="00650A9F" w:rsidRPr="00650A9F">
        <w:rPr>
          <w:rFonts w:ascii="Arial" w:hAnsi="Arial" w:cs="Arial"/>
        </w:rPr>
        <w:t>interaction between vaccine dose</w:t>
      </w:r>
      <w:r w:rsidR="00554922">
        <w:rPr>
          <w:rFonts w:ascii="Arial" w:hAnsi="Arial" w:cs="Arial"/>
        </w:rPr>
        <w:t xml:space="preserve"> </w:t>
      </w:r>
      <w:r w:rsidR="002D51DB">
        <w:rPr>
          <w:rFonts w:ascii="Arial" w:hAnsi="Arial" w:cs="Arial"/>
        </w:rPr>
        <w:t xml:space="preserve">and </w:t>
      </w:r>
      <w:r w:rsidR="00554922">
        <w:rPr>
          <w:rFonts w:ascii="Arial" w:hAnsi="Arial" w:cs="Arial"/>
        </w:rPr>
        <w:t>COVID-19 history</w:t>
      </w:r>
      <w:r w:rsidR="007D1E1A">
        <w:rPr>
          <w:rFonts w:ascii="Arial" w:hAnsi="Arial" w:cs="Arial"/>
        </w:rPr>
        <w:t xml:space="preserve"> (Fig 1A)</w:t>
      </w:r>
      <w:r w:rsidR="00650A9F" w:rsidRPr="00650A9F">
        <w:rPr>
          <w:rFonts w:ascii="Arial" w:hAnsi="Arial" w:cs="Arial"/>
        </w:rPr>
        <w:t>.</w:t>
      </w:r>
    </w:p>
    <w:p w14:paraId="4333A630" w14:textId="16602F1E" w:rsidR="00650A9F" w:rsidRPr="00650A9F" w:rsidRDefault="00650A9F" w:rsidP="00554922">
      <w:pPr>
        <w:spacing w:line="480" w:lineRule="auto"/>
        <w:jc w:val="both"/>
        <w:rPr>
          <w:rFonts w:ascii="Arial" w:hAnsi="Arial" w:cs="Arial"/>
        </w:rPr>
      </w:pPr>
    </w:p>
    <w:p w14:paraId="2231B1F5" w14:textId="41195D29" w:rsidR="00A1216B" w:rsidRDefault="00650A9F" w:rsidP="005F30DB">
      <w:pPr>
        <w:spacing w:line="480" w:lineRule="auto"/>
        <w:jc w:val="both"/>
        <w:rPr>
          <w:rFonts w:ascii="Arial" w:hAnsi="Arial" w:cs="Arial"/>
        </w:rPr>
      </w:pPr>
      <w:r w:rsidRPr="00650A9F">
        <w:rPr>
          <w:rFonts w:ascii="Arial" w:hAnsi="Arial" w:cs="Arial"/>
        </w:rPr>
        <w:lastRenderedPageBreak/>
        <w:t xml:space="preserve">To investigate the difference </w:t>
      </w:r>
      <w:r w:rsidR="005F30DB">
        <w:rPr>
          <w:rFonts w:ascii="Arial" w:hAnsi="Arial" w:cs="Arial"/>
        </w:rPr>
        <w:t xml:space="preserve">in number of AEs </w:t>
      </w:r>
      <w:r w:rsidRPr="00650A9F">
        <w:rPr>
          <w:rFonts w:ascii="Arial" w:hAnsi="Arial" w:cs="Arial"/>
        </w:rPr>
        <w:t xml:space="preserve">between </w:t>
      </w:r>
      <w:r w:rsidR="005F30DB" w:rsidRPr="0023648B">
        <w:rPr>
          <w:rFonts w:ascii="Arial" w:hAnsi="Arial" w:cs="Arial"/>
          <w:bCs/>
          <w:color w:val="000000" w:themeColor="text1"/>
        </w:rPr>
        <w:t>BNT162b2/Pfizer</w:t>
      </w:r>
      <w:r w:rsidRPr="00650A9F">
        <w:rPr>
          <w:rFonts w:ascii="Arial" w:hAnsi="Arial" w:cs="Arial"/>
        </w:rPr>
        <w:t xml:space="preserve"> </w:t>
      </w:r>
      <w:r w:rsidR="005F30DB">
        <w:rPr>
          <w:rFonts w:ascii="Arial" w:hAnsi="Arial" w:cs="Arial"/>
        </w:rPr>
        <w:t xml:space="preserve">dose three and the </w:t>
      </w:r>
      <w:r w:rsidR="0068750B">
        <w:rPr>
          <w:rFonts w:ascii="Arial" w:hAnsi="Arial" w:cs="Arial"/>
        </w:rPr>
        <w:t xml:space="preserve">influenza </w:t>
      </w:r>
      <w:r w:rsidR="005F30DB">
        <w:rPr>
          <w:rFonts w:ascii="Arial" w:hAnsi="Arial" w:cs="Arial"/>
        </w:rPr>
        <w:t xml:space="preserve">vaccine, together with </w:t>
      </w:r>
      <w:r w:rsidRPr="00650A9F">
        <w:rPr>
          <w:rFonts w:ascii="Arial" w:hAnsi="Arial" w:cs="Arial"/>
        </w:rPr>
        <w:t xml:space="preserve">the role of interval between </w:t>
      </w:r>
      <w:r w:rsidR="002A74A4">
        <w:rPr>
          <w:rFonts w:ascii="Arial" w:hAnsi="Arial" w:cs="Arial"/>
        </w:rPr>
        <w:t>each</w:t>
      </w:r>
      <w:r w:rsidR="005F30DB">
        <w:rPr>
          <w:rFonts w:ascii="Arial" w:hAnsi="Arial" w:cs="Arial"/>
        </w:rPr>
        <w:t xml:space="preserve"> vaccine, a two-by-two-way</w:t>
      </w:r>
      <w:r w:rsidRPr="00650A9F">
        <w:rPr>
          <w:rFonts w:ascii="Arial" w:hAnsi="Arial" w:cs="Arial"/>
        </w:rPr>
        <w:t xml:space="preserve"> ANCOVA (vaccine </w:t>
      </w:r>
      <w:r w:rsidR="005F30DB">
        <w:rPr>
          <w:rFonts w:ascii="Arial" w:hAnsi="Arial" w:cs="Arial"/>
        </w:rPr>
        <w:t>x</w:t>
      </w:r>
      <w:r w:rsidRPr="00650A9F">
        <w:rPr>
          <w:rFonts w:ascii="Arial" w:hAnsi="Arial" w:cs="Arial"/>
        </w:rPr>
        <w:t xml:space="preserve"> dosage interval)</w:t>
      </w:r>
      <w:r w:rsidR="005F30DB">
        <w:rPr>
          <w:rFonts w:ascii="Arial" w:hAnsi="Arial" w:cs="Arial"/>
        </w:rPr>
        <w:t>,</w:t>
      </w:r>
      <w:r w:rsidRPr="00650A9F">
        <w:rPr>
          <w:rFonts w:ascii="Arial" w:hAnsi="Arial" w:cs="Arial"/>
        </w:rPr>
        <w:t xml:space="preserve"> with age and gender as covariates (given the significant relationships here with dose </w:t>
      </w:r>
      <w:r w:rsidR="005F30DB">
        <w:rPr>
          <w:rFonts w:ascii="Arial" w:hAnsi="Arial" w:cs="Arial"/>
        </w:rPr>
        <w:t>three</w:t>
      </w:r>
      <w:r w:rsidRPr="00650A9F">
        <w:rPr>
          <w:rFonts w:ascii="Arial" w:hAnsi="Arial" w:cs="Arial"/>
        </w:rPr>
        <w:t>)</w:t>
      </w:r>
      <w:r w:rsidR="005F30DB">
        <w:rPr>
          <w:rFonts w:ascii="Arial" w:hAnsi="Arial" w:cs="Arial"/>
        </w:rPr>
        <w:t>,</w:t>
      </w:r>
      <w:r w:rsidRPr="00650A9F">
        <w:rPr>
          <w:rFonts w:ascii="Arial" w:hAnsi="Arial" w:cs="Arial"/>
        </w:rPr>
        <w:t xml:space="preserve"> was performed.</w:t>
      </w:r>
      <w:r w:rsidR="005F30DB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>Overall</w:t>
      </w:r>
      <w:r w:rsidR="005F30DB">
        <w:rPr>
          <w:rFonts w:ascii="Arial" w:hAnsi="Arial" w:cs="Arial"/>
        </w:rPr>
        <w:t>,</w:t>
      </w:r>
      <w:r w:rsidRPr="00650A9F">
        <w:rPr>
          <w:rFonts w:ascii="Arial" w:hAnsi="Arial" w:cs="Arial"/>
        </w:rPr>
        <w:t xml:space="preserve"> there were significantly </w:t>
      </w:r>
      <w:r w:rsidR="005F30DB">
        <w:rPr>
          <w:rFonts w:ascii="Arial" w:hAnsi="Arial" w:cs="Arial"/>
        </w:rPr>
        <w:t>more AEs</w:t>
      </w:r>
      <w:r w:rsidRPr="00650A9F">
        <w:rPr>
          <w:rFonts w:ascii="Arial" w:hAnsi="Arial" w:cs="Arial"/>
        </w:rPr>
        <w:t xml:space="preserve"> </w:t>
      </w:r>
      <w:r w:rsidR="005F30DB">
        <w:rPr>
          <w:rFonts w:ascii="Arial" w:hAnsi="Arial" w:cs="Arial"/>
        </w:rPr>
        <w:t xml:space="preserve">following </w:t>
      </w:r>
      <w:r w:rsidR="005F30DB" w:rsidRPr="0023648B">
        <w:rPr>
          <w:rFonts w:ascii="Arial" w:hAnsi="Arial" w:cs="Arial"/>
          <w:bCs/>
          <w:color w:val="000000" w:themeColor="text1"/>
        </w:rPr>
        <w:t>BNT162b2/Pfizer</w:t>
      </w:r>
      <w:r w:rsidR="005F30DB">
        <w:rPr>
          <w:rFonts w:ascii="Arial" w:hAnsi="Arial" w:cs="Arial"/>
          <w:bCs/>
          <w:color w:val="000000" w:themeColor="text1"/>
        </w:rPr>
        <w:t xml:space="preserve"> dose</w:t>
      </w:r>
      <w:r w:rsidR="00B10E68">
        <w:rPr>
          <w:rFonts w:ascii="Arial" w:hAnsi="Arial" w:cs="Arial"/>
          <w:bCs/>
          <w:color w:val="000000" w:themeColor="text1"/>
        </w:rPr>
        <w:t xml:space="preserve"> three</w:t>
      </w:r>
      <w:r w:rsidRPr="00650A9F">
        <w:rPr>
          <w:rFonts w:ascii="Arial" w:hAnsi="Arial" w:cs="Arial"/>
        </w:rPr>
        <w:t xml:space="preserve"> (1.28[1.07–1.49]</w:t>
      </w:r>
      <w:r w:rsidR="005F30DB">
        <w:rPr>
          <w:rFonts w:ascii="Arial" w:hAnsi="Arial" w:cs="Arial"/>
        </w:rPr>
        <w:t xml:space="preserve">), compared to the </w:t>
      </w:r>
      <w:r w:rsidR="0068750B">
        <w:rPr>
          <w:rFonts w:ascii="Arial" w:hAnsi="Arial" w:cs="Arial"/>
        </w:rPr>
        <w:t xml:space="preserve">influenza </w:t>
      </w:r>
      <w:r w:rsidR="005F30DB">
        <w:rPr>
          <w:rFonts w:ascii="Arial" w:hAnsi="Arial" w:cs="Arial"/>
        </w:rPr>
        <w:t>vaccine</w:t>
      </w:r>
      <w:r w:rsidRPr="00650A9F">
        <w:rPr>
          <w:rFonts w:ascii="Arial" w:hAnsi="Arial" w:cs="Arial"/>
        </w:rPr>
        <w:t xml:space="preserve"> (0.81[0.60–1.02]</w:t>
      </w:r>
      <w:r w:rsidR="008D0B64">
        <w:rPr>
          <w:rFonts w:ascii="Arial" w:hAnsi="Arial" w:cs="Arial"/>
        </w:rPr>
        <w:t xml:space="preserve">; Fig </w:t>
      </w:r>
      <w:r w:rsidR="007D1E1A">
        <w:rPr>
          <w:rFonts w:ascii="Arial" w:hAnsi="Arial" w:cs="Arial"/>
        </w:rPr>
        <w:t>1</w:t>
      </w:r>
      <w:r w:rsidR="008D0B64">
        <w:rPr>
          <w:rFonts w:ascii="Arial" w:hAnsi="Arial" w:cs="Arial"/>
        </w:rPr>
        <w:t>B</w:t>
      </w:r>
      <w:r w:rsidR="005F30DB">
        <w:rPr>
          <w:rFonts w:ascii="Arial" w:hAnsi="Arial" w:cs="Arial"/>
        </w:rPr>
        <w:t>)</w:t>
      </w:r>
      <w:r w:rsidR="00B10E68">
        <w:rPr>
          <w:rFonts w:ascii="Arial" w:hAnsi="Arial" w:cs="Arial"/>
        </w:rPr>
        <w:t xml:space="preserve">; </w:t>
      </w:r>
      <w:r w:rsidR="00E10013">
        <w:rPr>
          <w:rFonts w:ascii="Arial" w:hAnsi="Arial" w:cs="Arial"/>
        </w:rPr>
        <w:t xml:space="preserve">AEs </w:t>
      </w:r>
      <w:r w:rsidRPr="00650A9F">
        <w:rPr>
          <w:rFonts w:ascii="Arial" w:hAnsi="Arial" w:cs="Arial"/>
        </w:rPr>
        <w:t>F(1,331)=3.86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d=0.28[0.19–0.37]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p&lt;0.001</w:t>
      </w:r>
      <w:r w:rsidR="00B10E68">
        <w:rPr>
          <w:rFonts w:ascii="Arial" w:hAnsi="Arial" w:cs="Arial"/>
        </w:rPr>
        <w:t>),</w:t>
      </w:r>
      <w:r w:rsidRPr="00650A9F">
        <w:rPr>
          <w:rFonts w:ascii="Arial" w:hAnsi="Arial" w:cs="Arial"/>
        </w:rPr>
        <w:t xml:space="preserve"> but there was no significant effect of interval between </w:t>
      </w:r>
      <w:r w:rsidR="002A74A4">
        <w:rPr>
          <w:rFonts w:ascii="Arial" w:hAnsi="Arial" w:cs="Arial"/>
        </w:rPr>
        <w:t>vaccine</w:t>
      </w:r>
      <w:r w:rsidR="002A74A4" w:rsidRPr="00650A9F">
        <w:rPr>
          <w:rFonts w:ascii="Arial" w:hAnsi="Arial" w:cs="Arial"/>
        </w:rPr>
        <w:t xml:space="preserve">s </w:t>
      </w:r>
      <w:r w:rsidRPr="00650A9F">
        <w:rPr>
          <w:rFonts w:ascii="Arial" w:hAnsi="Arial" w:cs="Arial"/>
        </w:rPr>
        <w:t>(F(1,331)=0.02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p=0.88)</w:t>
      </w:r>
      <w:r w:rsidR="00B10E68">
        <w:rPr>
          <w:rFonts w:ascii="Arial" w:hAnsi="Arial" w:cs="Arial"/>
        </w:rPr>
        <w:t>,</w:t>
      </w:r>
      <w:r w:rsidRPr="00650A9F">
        <w:rPr>
          <w:rFonts w:ascii="Arial" w:hAnsi="Arial" w:cs="Arial"/>
        </w:rPr>
        <w:t xml:space="preserve"> and no interaction between these variables (F(1,311)=0.61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p=0.44</w:t>
      </w:r>
      <w:r w:rsidR="00B10E68">
        <w:rPr>
          <w:rFonts w:ascii="Arial" w:hAnsi="Arial" w:cs="Arial"/>
        </w:rPr>
        <w:t xml:space="preserve">; Fig </w:t>
      </w:r>
      <w:r w:rsidR="00315180">
        <w:rPr>
          <w:rFonts w:ascii="Arial" w:hAnsi="Arial" w:cs="Arial"/>
        </w:rPr>
        <w:t>1C</w:t>
      </w:r>
      <w:r w:rsidR="00B10E68">
        <w:rPr>
          <w:rFonts w:ascii="Arial" w:hAnsi="Arial" w:cs="Arial"/>
        </w:rPr>
        <w:t>).</w:t>
      </w:r>
    </w:p>
    <w:p w14:paraId="0517D4ED" w14:textId="77777777" w:rsidR="00A1216B" w:rsidRDefault="00A1216B" w:rsidP="005F30DB">
      <w:pPr>
        <w:spacing w:line="480" w:lineRule="auto"/>
        <w:jc w:val="both"/>
        <w:rPr>
          <w:rFonts w:ascii="Arial" w:hAnsi="Arial" w:cs="Arial"/>
        </w:rPr>
      </w:pPr>
    </w:p>
    <w:p w14:paraId="0AD0F988" w14:textId="76C14E35" w:rsidR="00E10013" w:rsidRDefault="007D1E1A" w:rsidP="005F3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47C9">
        <w:rPr>
          <w:rFonts w:ascii="Arial" w:hAnsi="Arial" w:cs="Arial"/>
        </w:rPr>
        <w:t xml:space="preserve">Insert </w:t>
      </w:r>
      <w:r>
        <w:rPr>
          <w:rFonts w:ascii="Arial" w:hAnsi="Arial" w:cs="Arial"/>
        </w:rPr>
        <w:t xml:space="preserve">Fig </w:t>
      </w:r>
      <w:r w:rsidRPr="00C147C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C147C9">
        <w:rPr>
          <w:rFonts w:ascii="Arial" w:hAnsi="Arial" w:cs="Arial"/>
        </w:rPr>
        <w:t xml:space="preserve"> </w:t>
      </w:r>
    </w:p>
    <w:p w14:paraId="1E292E0C" w14:textId="77777777" w:rsidR="006832A9" w:rsidRPr="00650A9F" w:rsidRDefault="006832A9" w:rsidP="005F30DB">
      <w:pPr>
        <w:jc w:val="both"/>
        <w:rPr>
          <w:rFonts w:ascii="Arial" w:hAnsi="Arial" w:cs="Arial"/>
        </w:rPr>
      </w:pPr>
    </w:p>
    <w:p w14:paraId="1CF8C6E7" w14:textId="620048BC" w:rsidR="00650A9F" w:rsidRPr="00650A9F" w:rsidRDefault="00650A9F" w:rsidP="00554922">
      <w:pPr>
        <w:spacing w:line="480" w:lineRule="auto"/>
        <w:jc w:val="both"/>
        <w:rPr>
          <w:rFonts w:ascii="Arial" w:hAnsi="Arial" w:cs="Arial"/>
        </w:rPr>
      </w:pPr>
      <w:r w:rsidRPr="00650A9F">
        <w:rPr>
          <w:rFonts w:ascii="Arial" w:hAnsi="Arial" w:cs="Arial"/>
        </w:rPr>
        <w:t xml:space="preserve">Given the association between </w:t>
      </w:r>
      <w:r w:rsidR="00E10013">
        <w:rPr>
          <w:rFonts w:ascii="Arial" w:hAnsi="Arial" w:cs="Arial"/>
        </w:rPr>
        <w:t>occurrence</w:t>
      </w:r>
      <w:r w:rsidR="00390E3F">
        <w:rPr>
          <w:rFonts w:ascii="Arial" w:hAnsi="Arial" w:cs="Arial"/>
        </w:rPr>
        <w:t xml:space="preserve"> of any</w:t>
      </w:r>
      <w:r w:rsidR="00B10E68">
        <w:rPr>
          <w:rFonts w:ascii="Arial" w:hAnsi="Arial" w:cs="Arial"/>
        </w:rPr>
        <w:t xml:space="preserve"> </w:t>
      </w:r>
      <w:r w:rsidR="00C9641E">
        <w:rPr>
          <w:rFonts w:ascii="Arial" w:hAnsi="Arial" w:cs="Arial"/>
        </w:rPr>
        <w:t xml:space="preserve">influenza </w:t>
      </w:r>
      <w:r w:rsidR="00B10E68">
        <w:rPr>
          <w:rFonts w:ascii="Arial" w:hAnsi="Arial" w:cs="Arial"/>
        </w:rPr>
        <w:t>AEs</w:t>
      </w:r>
      <w:r w:rsidRPr="00650A9F">
        <w:rPr>
          <w:rFonts w:ascii="Arial" w:hAnsi="Arial" w:cs="Arial"/>
        </w:rPr>
        <w:t xml:space="preserve"> </w:t>
      </w:r>
      <w:r w:rsidR="00B10E68">
        <w:rPr>
          <w:rFonts w:ascii="Arial" w:hAnsi="Arial" w:cs="Arial"/>
        </w:rPr>
        <w:t>a</w:t>
      </w:r>
      <w:r w:rsidRPr="00650A9F">
        <w:rPr>
          <w:rFonts w:ascii="Arial" w:hAnsi="Arial" w:cs="Arial"/>
        </w:rPr>
        <w:t xml:space="preserve">nd </w:t>
      </w:r>
      <w:r w:rsidR="00B10E68">
        <w:rPr>
          <w:rFonts w:ascii="Arial" w:hAnsi="Arial" w:cs="Arial"/>
        </w:rPr>
        <w:t xml:space="preserve">prior COVID-19, </w:t>
      </w:r>
      <w:r w:rsidR="00C61F1E">
        <w:rPr>
          <w:rFonts w:ascii="Arial" w:hAnsi="Arial" w:cs="Arial"/>
        </w:rPr>
        <w:t>we</w:t>
      </w:r>
      <w:r w:rsidRPr="00650A9F">
        <w:rPr>
          <w:rFonts w:ascii="Arial" w:hAnsi="Arial" w:cs="Arial"/>
        </w:rPr>
        <w:t xml:space="preserve"> investigate</w:t>
      </w:r>
      <w:r w:rsidR="00C61F1E">
        <w:rPr>
          <w:rFonts w:ascii="Arial" w:hAnsi="Arial" w:cs="Arial"/>
        </w:rPr>
        <w:t>d</w:t>
      </w:r>
      <w:r w:rsidRPr="00650A9F">
        <w:rPr>
          <w:rFonts w:ascii="Arial" w:hAnsi="Arial" w:cs="Arial"/>
        </w:rPr>
        <w:t xml:space="preserve"> this </w:t>
      </w:r>
      <w:r w:rsidR="00C61F1E">
        <w:rPr>
          <w:rFonts w:ascii="Arial" w:hAnsi="Arial" w:cs="Arial"/>
        </w:rPr>
        <w:t>further</w:t>
      </w:r>
      <w:r w:rsidRPr="00650A9F">
        <w:rPr>
          <w:rFonts w:ascii="Arial" w:hAnsi="Arial" w:cs="Arial"/>
        </w:rPr>
        <w:t xml:space="preserve">. A </w:t>
      </w:r>
      <w:r w:rsidR="00B10E68">
        <w:rPr>
          <w:rFonts w:ascii="Arial" w:hAnsi="Arial" w:cs="Arial"/>
        </w:rPr>
        <w:t>two-by-</w:t>
      </w:r>
      <w:r w:rsidR="003E6494">
        <w:rPr>
          <w:rFonts w:ascii="Arial" w:hAnsi="Arial" w:cs="Arial"/>
        </w:rPr>
        <w:t>t</w:t>
      </w:r>
      <w:r w:rsidR="00B10E68">
        <w:rPr>
          <w:rFonts w:ascii="Arial" w:hAnsi="Arial" w:cs="Arial"/>
        </w:rPr>
        <w:t>wo-way</w:t>
      </w:r>
      <w:r w:rsidRPr="00650A9F">
        <w:rPr>
          <w:rFonts w:ascii="Arial" w:hAnsi="Arial" w:cs="Arial"/>
        </w:rPr>
        <w:t xml:space="preserve"> ANCOVA (vaccine</w:t>
      </w:r>
      <w:r w:rsidR="00C61F1E">
        <w:rPr>
          <w:rFonts w:ascii="Arial" w:hAnsi="Arial" w:cs="Arial"/>
        </w:rPr>
        <w:t>-type</w:t>
      </w:r>
      <w:r w:rsidRPr="00650A9F">
        <w:rPr>
          <w:rFonts w:ascii="Arial" w:hAnsi="Arial" w:cs="Arial"/>
        </w:rPr>
        <w:t xml:space="preserve"> x prior </w:t>
      </w:r>
      <w:r w:rsidR="005F30DB">
        <w:rPr>
          <w:rFonts w:ascii="Arial" w:hAnsi="Arial" w:cs="Arial"/>
        </w:rPr>
        <w:t>COVID-19</w:t>
      </w:r>
      <w:r w:rsidRPr="00650A9F">
        <w:rPr>
          <w:rFonts w:ascii="Arial" w:hAnsi="Arial" w:cs="Arial"/>
        </w:rPr>
        <w:t>)</w:t>
      </w:r>
      <w:r w:rsidR="00B10E68">
        <w:rPr>
          <w:rFonts w:ascii="Arial" w:hAnsi="Arial" w:cs="Arial"/>
        </w:rPr>
        <w:t xml:space="preserve"> was performed,</w:t>
      </w:r>
      <w:r w:rsidRPr="00650A9F">
        <w:rPr>
          <w:rFonts w:ascii="Arial" w:hAnsi="Arial" w:cs="Arial"/>
        </w:rPr>
        <w:t xml:space="preserve"> with age and gender as covariates</w:t>
      </w:r>
      <w:r w:rsidR="00B10E68">
        <w:rPr>
          <w:rFonts w:ascii="Arial" w:hAnsi="Arial" w:cs="Arial"/>
        </w:rPr>
        <w:t xml:space="preserve">. </w:t>
      </w:r>
      <w:r w:rsidRPr="00650A9F">
        <w:rPr>
          <w:rFonts w:ascii="Arial" w:hAnsi="Arial" w:cs="Arial"/>
        </w:rPr>
        <w:t xml:space="preserve">The overall significant difference in </w:t>
      </w:r>
      <w:r w:rsidR="00B10E68">
        <w:rPr>
          <w:rFonts w:ascii="Arial" w:hAnsi="Arial" w:cs="Arial"/>
        </w:rPr>
        <w:t>number of AEs</w:t>
      </w:r>
      <w:r w:rsidRPr="00650A9F">
        <w:rPr>
          <w:rFonts w:ascii="Arial" w:hAnsi="Arial" w:cs="Arial"/>
        </w:rPr>
        <w:t xml:space="preserve"> between </w:t>
      </w:r>
      <w:r w:rsidR="00D000D6">
        <w:rPr>
          <w:rFonts w:ascii="Arial" w:hAnsi="Arial" w:cs="Arial"/>
          <w:bCs/>
          <w:color w:val="000000" w:themeColor="text1"/>
        </w:rPr>
        <w:t>prior</w:t>
      </w:r>
      <w:r w:rsidR="00764AFA">
        <w:rPr>
          <w:rFonts w:ascii="Arial" w:hAnsi="Arial" w:cs="Arial"/>
          <w:bCs/>
          <w:color w:val="000000" w:themeColor="text1"/>
        </w:rPr>
        <w:t xml:space="preserve"> </w:t>
      </w:r>
      <w:r w:rsidR="00D000D6">
        <w:rPr>
          <w:rFonts w:ascii="Arial" w:hAnsi="Arial" w:cs="Arial"/>
          <w:bCs/>
          <w:color w:val="000000" w:themeColor="text1"/>
        </w:rPr>
        <w:t>COVID-19</w:t>
      </w:r>
      <w:r w:rsidR="00AE5CDB">
        <w:rPr>
          <w:rFonts w:ascii="Arial" w:hAnsi="Arial" w:cs="Arial"/>
          <w:bCs/>
          <w:color w:val="000000" w:themeColor="text1"/>
        </w:rPr>
        <w:t xml:space="preserve"> </w:t>
      </w:r>
      <w:r w:rsidRPr="00650A9F">
        <w:rPr>
          <w:rFonts w:ascii="Arial" w:hAnsi="Arial" w:cs="Arial"/>
        </w:rPr>
        <w:t xml:space="preserve">and </w:t>
      </w:r>
      <w:r w:rsidR="00C9641E">
        <w:rPr>
          <w:rFonts w:ascii="Arial" w:hAnsi="Arial" w:cs="Arial"/>
        </w:rPr>
        <w:t>influenza</w:t>
      </w:r>
      <w:r w:rsidR="00C9641E" w:rsidRPr="00650A9F">
        <w:rPr>
          <w:rFonts w:ascii="Arial" w:hAnsi="Arial" w:cs="Arial"/>
        </w:rPr>
        <w:t xml:space="preserve"> </w:t>
      </w:r>
      <w:r w:rsidR="00B10E68">
        <w:rPr>
          <w:rFonts w:ascii="Arial" w:hAnsi="Arial" w:cs="Arial"/>
        </w:rPr>
        <w:t xml:space="preserve">was </w:t>
      </w:r>
      <w:r w:rsidRPr="00650A9F">
        <w:rPr>
          <w:rFonts w:ascii="Arial" w:hAnsi="Arial" w:cs="Arial"/>
        </w:rPr>
        <w:t>maintained (F(1,470)=1.06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p&lt;0.001)</w:t>
      </w:r>
      <w:r w:rsidR="00B10E68">
        <w:rPr>
          <w:rFonts w:ascii="Arial" w:hAnsi="Arial" w:cs="Arial"/>
        </w:rPr>
        <w:t xml:space="preserve">, </w:t>
      </w:r>
      <w:r w:rsidRPr="00650A9F">
        <w:rPr>
          <w:rFonts w:ascii="Arial" w:hAnsi="Arial" w:cs="Arial"/>
        </w:rPr>
        <w:t xml:space="preserve">but there </w:t>
      </w:r>
      <w:r w:rsidR="00B10E68">
        <w:rPr>
          <w:rFonts w:ascii="Arial" w:hAnsi="Arial" w:cs="Arial"/>
        </w:rPr>
        <w:t>was</w:t>
      </w:r>
      <w:r w:rsidRPr="00650A9F">
        <w:rPr>
          <w:rFonts w:ascii="Arial" w:hAnsi="Arial" w:cs="Arial"/>
        </w:rPr>
        <w:t xml:space="preserve"> also a significant overall effect of prior COVID</w:t>
      </w:r>
      <w:r w:rsidR="00B10E68">
        <w:rPr>
          <w:rFonts w:ascii="Arial" w:hAnsi="Arial" w:cs="Arial"/>
        </w:rPr>
        <w:t>-19</w:t>
      </w:r>
      <w:r w:rsidRPr="00650A9F">
        <w:rPr>
          <w:rFonts w:ascii="Arial" w:hAnsi="Arial" w:cs="Arial"/>
        </w:rPr>
        <w:t xml:space="preserve"> with those previously </w:t>
      </w:r>
      <w:r w:rsidR="00B10E68" w:rsidRPr="00650A9F">
        <w:rPr>
          <w:rFonts w:ascii="Arial" w:hAnsi="Arial" w:cs="Arial"/>
        </w:rPr>
        <w:t>symptomatic</w:t>
      </w:r>
      <w:r w:rsidR="00B10E68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 xml:space="preserve">reporting more </w:t>
      </w:r>
      <w:r w:rsidR="00B10E68">
        <w:rPr>
          <w:rFonts w:ascii="Arial" w:hAnsi="Arial" w:cs="Arial"/>
        </w:rPr>
        <w:t>AEs</w:t>
      </w:r>
      <w:r w:rsidRPr="00650A9F">
        <w:rPr>
          <w:rFonts w:ascii="Arial" w:hAnsi="Arial" w:cs="Arial"/>
        </w:rPr>
        <w:t xml:space="preserve"> across both</w:t>
      </w:r>
      <w:r w:rsidR="00390E3F">
        <w:rPr>
          <w:rFonts w:ascii="Arial" w:hAnsi="Arial" w:cs="Arial"/>
        </w:rPr>
        <w:t xml:space="preserve"> types of</w:t>
      </w:r>
      <w:r w:rsidRPr="00650A9F">
        <w:rPr>
          <w:rFonts w:ascii="Arial" w:hAnsi="Arial" w:cs="Arial"/>
        </w:rPr>
        <w:t xml:space="preserve"> vaccine</w:t>
      </w:r>
      <w:r w:rsidR="0068750B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>(F(1,470)=11.73,p&lt;0.001)</w:t>
      </w:r>
      <w:r w:rsidR="00B10E68">
        <w:rPr>
          <w:rFonts w:ascii="Arial" w:hAnsi="Arial" w:cs="Arial"/>
        </w:rPr>
        <w:t>,</w:t>
      </w:r>
      <w:r w:rsidRPr="00650A9F">
        <w:rPr>
          <w:rFonts w:ascii="Arial" w:hAnsi="Arial" w:cs="Arial"/>
        </w:rPr>
        <w:t xml:space="preserve"> but </w:t>
      </w:r>
      <w:r w:rsidR="00390E3F">
        <w:rPr>
          <w:rFonts w:ascii="Arial" w:hAnsi="Arial" w:cs="Arial"/>
        </w:rPr>
        <w:t>crucially a</w:t>
      </w:r>
      <w:r w:rsidRPr="00650A9F">
        <w:rPr>
          <w:rFonts w:ascii="Arial" w:hAnsi="Arial" w:cs="Arial"/>
        </w:rPr>
        <w:t xml:space="preserve"> significant interaction between vaccine type and COVID</w:t>
      </w:r>
      <w:r w:rsidR="00BC1B14">
        <w:rPr>
          <w:rFonts w:ascii="Arial" w:hAnsi="Arial" w:cs="Arial"/>
        </w:rPr>
        <w:t>-19</w:t>
      </w:r>
      <w:r w:rsidRPr="00650A9F">
        <w:rPr>
          <w:rFonts w:ascii="Arial" w:hAnsi="Arial" w:cs="Arial"/>
        </w:rPr>
        <w:t xml:space="preserve"> history F(1,470)=4.16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p=0.04</w:t>
      </w:r>
      <w:r w:rsidR="00B10E68">
        <w:rPr>
          <w:rFonts w:ascii="Arial" w:hAnsi="Arial" w:cs="Arial"/>
        </w:rPr>
        <w:t>)</w:t>
      </w:r>
      <w:r w:rsidRPr="00650A9F">
        <w:rPr>
          <w:rFonts w:ascii="Arial" w:hAnsi="Arial" w:cs="Arial"/>
        </w:rPr>
        <w:t>. A simple effects analysis reveal</w:t>
      </w:r>
      <w:r w:rsidR="00B10E68">
        <w:rPr>
          <w:rFonts w:ascii="Arial" w:hAnsi="Arial" w:cs="Arial"/>
        </w:rPr>
        <w:t>ed</w:t>
      </w:r>
      <w:r w:rsidRPr="00650A9F">
        <w:rPr>
          <w:rFonts w:ascii="Arial" w:hAnsi="Arial" w:cs="Arial"/>
        </w:rPr>
        <w:t xml:space="preserve"> this interaction </w:t>
      </w:r>
      <w:r w:rsidR="00B10E68">
        <w:rPr>
          <w:rFonts w:ascii="Arial" w:hAnsi="Arial" w:cs="Arial"/>
        </w:rPr>
        <w:t>was</w:t>
      </w:r>
      <w:r w:rsidRPr="00650A9F">
        <w:rPr>
          <w:rFonts w:ascii="Arial" w:hAnsi="Arial" w:cs="Arial"/>
        </w:rPr>
        <w:t xml:space="preserve"> due to significantly larger number</w:t>
      </w:r>
      <w:r w:rsidR="00D000D6">
        <w:rPr>
          <w:rFonts w:ascii="Arial" w:hAnsi="Arial" w:cs="Arial"/>
        </w:rPr>
        <w:t>s</w:t>
      </w:r>
      <w:r w:rsidRPr="00650A9F">
        <w:rPr>
          <w:rFonts w:ascii="Arial" w:hAnsi="Arial" w:cs="Arial"/>
        </w:rPr>
        <w:t xml:space="preserve"> of </w:t>
      </w:r>
      <w:r w:rsidR="00B10E68">
        <w:rPr>
          <w:rFonts w:ascii="Arial" w:hAnsi="Arial" w:cs="Arial"/>
        </w:rPr>
        <w:t>AEs</w:t>
      </w:r>
      <w:r w:rsidRPr="00650A9F">
        <w:rPr>
          <w:rFonts w:ascii="Arial" w:hAnsi="Arial" w:cs="Arial"/>
        </w:rPr>
        <w:t xml:space="preserve"> to </w:t>
      </w:r>
      <w:r w:rsidR="00B10E68" w:rsidRPr="0023648B">
        <w:rPr>
          <w:rFonts w:ascii="Arial" w:hAnsi="Arial" w:cs="Arial"/>
          <w:bCs/>
          <w:color w:val="000000" w:themeColor="text1"/>
        </w:rPr>
        <w:t>BNT162b2/Pfizer</w:t>
      </w:r>
      <w:r w:rsidR="00B10E68">
        <w:rPr>
          <w:rFonts w:ascii="Arial" w:hAnsi="Arial" w:cs="Arial"/>
          <w:bCs/>
          <w:color w:val="000000" w:themeColor="text1"/>
        </w:rPr>
        <w:t xml:space="preserve"> vaccine </w:t>
      </w:r>
      <w:r w:rsidRPr="00650A9F">
        <w:rPr>
          <w:rFonts w:ascii="Arial" w:hAnsi="Arial" w:cs="Arial"/>
        </w:rPr>
        <w:t xml:space="preserve">in those </w:t>
      </w:r>
      <w:r w:rsidR="00D000D6">
        <w:rPr>
          <w:rFonts w:ascii="Arial" w:hAnsi="Arial" w:cs="Arial"/>
        </w:rPr>
        <w:t>with prior</w:t>
      </w:r>
      <w:r w:rsidR="00764AFA">
        <w:rPr>
          <w:rFonts w:ascii="Arial" w:hAnsi="Arial" w:cs="Arial"/>
        </w:rPr>
        <w:t xml:space="preserve"> </w:t>
      </w:r>
      <w:r w:rsidR="00B10E68">
        <w:rPr>
          <w:rFonts w:ascii="Arial" w:hAnsi="Arial" w:cs="Arial"/>
        </w:rPr>
        <w:t>COVID-19</w:t>
      </w:r>
      <w:r w:rsidRPr="00650A9F">
        <w:rPr>
          <w:rFonts w:ascii="Arial" w:hAnsi="Arial" w:cs="Arial"/>
        </w:rPr>
        <w:t xml:space="preserve"> (t(527)=3.61,p&lt;</w:t>
      </w:r>
      <w:r w:rsidR="006C5807">
        <w:rPr>
          <w:rFonts w:ascii="Arial" w:hAnsi="Arial" w:cs="Arial"/>
        </w:rPr>
        <w:t>0</w:t>
      </w:r>
      <w:r w:rsidRPr="00650A9F">
        <w:rPr>
          <w:rFonts w:ascii="Arial" w:hAnsi="Arial" w:cs="Arial"/>
        </w:rPr>
        <w:t>.00</w:t>
      </w:r>
      <w:r w:rsidR="00D000D6">
        <w:rPr>
          <w:rFonts w:ascii="Arial" w:hAnsi="Arial" w:cs="Arial"/>
        </w:rPr>
        <w:t>1;</w:t>
      </w:r>
      <w:r w:rsidRPr="00650A9F">
        <w:rPr>
          <w:rFonts w:ascii="Arial" w:hAnsi="Arial" w:cs="Arial"/>
        </w:rPr>
        <w:t>d=0.34[0.15–0.52]</w:t>
      </w:r>
      <w:r w:rsidR="00B10E68">
        <w:rPr>
          <w:rFonts w:ascii="Arial" w:hAnsi="Arial" w:cs="Arial"/>
        </w:rPr>
        <w:t>),</w:t>
      </w:r>
      <w:r w:rsidRPr="00650A9F">
        <w:rPr>
          <w:rFonts w:ascii="Arial" w:hAnsi="Arial" w:cs="Arial"/>
        </w:rPr>
        <w:t xml:space="preserve"> whilst the difference in number of </w:t>
      </w:r>
      <w:r w:rsidR="00B10E68">
        <w:rPr>
          <w:rFonts w:ascii="Arial" w:hAnsi="Arial" w:cs="Arial"/>
        </w:rPr>
        <w:t>AEs following</w:t>
      </w:r>
      <w:r w:rsidRPr="00650A9F">
        <w:rPr>
          <w:rFonts w:ascii="Arial" w:hAnsi="Arial" w:cs="Arial"/>
        </w:rPr>
        <w:t xml:space="preserve"> </w:t>
      </w:r>
      <w:r w:rsidR="00C9641E">
        <w:rPr>
          <w:rFonts w:ascii="Arial" w:hAnsi="Arial" w:cs="Arial"/>
        </w:rPr>
        <w:t>influenza</w:t>
      </w:r>
      <w:r w:rsidR="00C9641E" w:rsidRPr="00650A9F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 xml:space="preserve">vaccine </w:t>
      </w:r>
      <w:r w:rsidR="00B10E68">
        <w:rPr>
          <w:rFonts w:ascii="Arial" w:hAnsi="Arial" w:cs="Arial"/>
        </w:rPr>
        <w:t>was</w:t>
      </w:r>
      <w:r w:rsidRPr="00650A9F">
        <w:rPr>
          <w:rFonts w:ascii="Arial" w:hAnsi="Arial" w:cs="Arial"/>
        </w:rPr>
        <w:t xml:space="preserve"> not significant (t (488)=1.78</w:t>
      </w:r>
      <w:r w:rsidR="00D000D6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p=0.08</w:t>
      </w:r>
      <w:r w:rsidR="00D000D6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d=0.17[-0.02–0.36]</w:t>
      </w:r>
      <w:r w:rsidR="00B10E68">
        <w:rPr>
          <w:rFonts w:ascii="Arial" w:hAnsi="Arial" w:cs="Arial"/>
        </w:rPr>
        <w:t xml:space="preserve">). </w:t>
      </w:r>
    </w:p>
    <w:p w14:paraId="0EF33F9F" w14:textId="4D7810EA" w:rsidR="00650A9F" w:rsidRPr="00650A9F" w:rsidRDefault="00650A9F" w:rsidP="00554922">
      <w:pPr>
        <w:spacing w:line="480" w:lineRule="auto"/>
        <w:jc w:val="both"/>
        <w:rPr>
          <w:rFonts w:ascii="Arial" w:hAnsi="Arial" w:cs="Arial"/>
        </w:rPr>
      </w:pPr>
    </w:p>
    <w:p w14:paraId="24DC76FA" w14:textId="2140FA5A" w:rsidR="00650A9F" w:rsidRPr="00650A9F" w:rsidRDefault="00650A9F" w:rsidP="00554922">
      <w:pPr>
        <w:spacing w:line="480" w:lineRule="auto"/>
        <w:jc w:val="both"/>
        <w:rPr>
          <w:rFonts w:ascii="Arial" w:hAnsi="Arial" w:cs="Arial"/>
        </w:rPr>
      </w:pPr>
      <w:r w:rsidRPr="00650A9F">
        <w:rPr>
          <w:rFonts w:ascii="Arial" w:hAnsi="Arial" w:cs="Arial"/>
        </w:rPr>
        <w:t>A similar pattern</w:t>
      </w:r>
      <w:r w:rsidR="00B10E68">
        <w:rPr>
          <w:rFonts w:ascii="Arial" w:hAnsi="Arial" w:cs="Arial"/>
        </w:rPr>
        <w:t xml:space="preserve"> of results was found for </w:t>
      </w:r>
      <w:r w:rsidR="005F30DB">
        <w:rPr>
          <w:rFonts w:ascii="Arial" w:hAnsi="Arial" w:cs="Arial"/>
        </w:rPr>
        <w:t>prolonged AEs,</w:t>
      </w:r>
      <w:r w:rsidRPr="00650A9F">
        <w:rPr>
          <w:rFonts w:ascii="Arial" w:hAnsi="Arial" w:cs="Arial"/>
        </w:rPr>
        <w:t xml:space="preserve"> </w:t>
      </w:r>
      <w:r w:rsidR="005F30DB">
        <w:rPr>
          <w:rFonts w:ascii="Arial" w:hAnsi="Arial" w:cs="Arial"/>
        </w:rPr>
        <w:t xml:space="preserve">which were </w:t>
      </w:r>
      <w:r w:rsidR="003E6494">
        <w:rPr>
          <w:rFonts w:ascii="Arial" w:hAnsi="Arial" w:cs="Arial"/>
        </w:rPr>
        <w:t>scored as total number of</w:t>
      </w:r>
      <w:r w:rsidR="005F30DB">
        <w:rPr>
          <w:rFonts w:ascii="Arial" w:hAnsi="Arial" w:cs="Arial"/>
        </w:rPr>
        <w:t xml:space="preserve"> vaccine-associated </w:t>
      </w:r>
      <w:r w:rsidR="00B10E68">
        <w:rPr>
          <w:rFonts w:ascii="Arial" w:hAnsi="Arial" w:cs="Arial"/>
        </w:rPr>
        <w:t>AEs</w:t>
      </w:r>
      <w:r w:rsidR="005F30DB">
        <w:rPr>
          <w:rFonts w:ascii="Arial" w:hAnsi="Arial" w:cs="Arial"/>
        </w:rPr>
        <w:t xml:space="preserve"> rated as moderate</w:t>
      </w:r>
      <w:r w:rsidR="00D000D6">
        <w:rPr>
          <w:rFonts w:ascii="Arial" w:hAnsi="Arial" w:cs="Arial"/>
        </w:rPr>
        <w:t>/</w:t>
      </w:r>
      <w:r w:rsidR="005F30DB">
        <w:rPr>
          <w:rFonts w:ascii="Arial" w:hAnsi="Arial" w:cs="Arial"/>
        </w:rPr>
        <w:t>severe, last</w:t>
      </w:r>
      <w:r w:rsidR="00D000D6">
        <w:rPr>
          <w:rFonts w:ascii="Arial" w:hAnsi="Arial" w:cs="Arial"/>
        </w:rPr>
        <w:t>ing</w:t>
      </w:r>
      <w:r w:rsidR="005F30DB">
        <w:rPr>
          <w:rFonts w:ascii="Arial" w:hAnsi="Arial" w:cs="Arial"/>
        </w:rPr>
        <w:t xml:space="preserve"> &gt;24 hours</w:t>
      </w:r>
      <w:r w:rsidRPr="00650A9F">
        <w:rPr>
          <w:rFonts w:ascii="Arial" w:hAnsi="Arial" w:cs="Arial"/>
        </w:rPr>
        <w:t xml:space="preserve">. </w:t>
      </w:r>
      <w:r w:rsidR="005F30DB">
        <w:rPr>
          <w:rFonts w:ascii="Arial" w:hAnsi="Arial" w:cs="Arial"/>
        </w:rPr>
        <w:t xml:space="preserve">In this instance, </w:t>
      </w:r>
      <w:r w:rsidRPr="00650A9F">
        <w:rPr>
          <w:rFonts w:ascii="Arial" w:hAnsi="Arial" w:cs="Arial"/>
        </w:rPr>
        <w:t>a</w:t>
      </w:r>
      <w:r w:rsidR="00B10E68">
        <w:rPr>
          <w:rFonts w:ascii="Arial" w:hAnsi="Arial" w:cs="Arial"/>
        </w:rPr>
        <w:t>n</w:t>
      </w:r>
      <w:r w:rsidRPr="00650A9F">
        <w:rPr>
          <w:rFonts w:ascii="Arial" w:hAnsi="Arial" w:cs="Arial"/>
        </w:rPr>
        <w:t xml:space="preserve"> ANCOVA </w:t>
      </w:r>
      <w:r w:rsidR="00B10E68">
        <w:rPr>
          <w:rFonts w:ascii="Arial" w:hAnsi="Arial" w:cs="Arial"/>
        </w:rPr>
        <w:t xml:space="preserve">found </w:t>
      </w:r>
      <w:r w:rsidRPr="00650A9F">
        <w:rPr>
          <w:rFonts w:ascii="Arial" w:hAnsi="Arial" w:cs="Arial"/>
        </w:rPr>
        <w:t>significantly higher number</w:t>
      </w:r>
      <w:r w:rsidR="00D000D6">
        <w:rPr>
          <w:rFonts w:ascii="Arial" w:hAnsi="Arial" w:cs="Arial"/>
        </w:rPr>
        <w:t>s</w:t>
      </w:r>
      <w:r w:rsidRPr="00650A9F">
        <w:rPr>
          <w:rFonts w:ascii="Arial" w:hAnsi="Arial" w:cs="Arial"/>
        </w:rPr>
        <w:t xml:space="preserve"> of </w:t>
      </w:r>
      <w:r w:rsidR="00B10E68">
        <w:rPr>
          <w:rFonts w:ascii="Arial" w:hAnsi="Arial" w:cs="Arial"/>
        </w:rPr>
        <w:t>prolonged AEs</w:t>
      </w:r>
      <w:r w:rsidRPr="00650A9F">
        <w:rPr>
          <w:rFonts w:ascii="Arial" w:hAnsi="Arial" w:cs="Arial"/>
        </w:rPr>
        <w:t xml:space="preserve"> </w:t>
      </w:r>
      <w:r w:rsidR="00B10E68">
        <w:rPr>
          <w:rFonts w:ascii="Arial" w:hAnsi="Arial" w:cs="Arial"/>
        </w:rPr>
        <w:t xml:space="preserve">associated with </w:t>
      </w:r>
      <w:r w:rsidR="00C9641E" w:rsidRPr="0023648B">
        <w:rPr>
          <w:rFonts w:ascii="Arial" w:hAnsi="Arial" w:cs="Arial"/>
          <w:bCs/>
          <w:color w:val="000000" w:themeColor="text1"/>
        </w:rPr>
        <w:lastRenderedPageBreak/>
        <w:t>BNT162b2/Pfizer</w:t>
      </w:r>
      <w:r w:rsidR="00C9641E" w:rsidRPr="00650A9F">
        <w:rPr>
          <w:rFonts w:ascii="Arial" w:hAnsi="Arial" w:cs="Arial"/>
        </w:rPr>
        <w:t xml:space="preserve"> </w:t>
      </w:r>
      <w:r w:rsidR="00B10E68">
        <w:rPr>
          <w:rFonts w:ascii="Arial" w:hAnsi="Arial" w:cs="Arial"/>
        </w:rPr>
        <w:t xml:space="preserve">vaccine compared to </w:t>
      </w:r>
      <w:r w:rsidR="00C9641E">
        <w:rPr>
          <w:rFonts w:ascii="Arial" w:hAnsi="Arial" w:cs="Arial"/>
        </w:rPr>
        <w:t>influenza</w:t>
      </w:r>
      <w:r w:rsidR="00C9641E" w:rsidRPr="00650A9F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>(1.09[0.96–1.23] v 0.32[0.19-0.45]</w:t>
      </w:r>
      <w:r w:rsidR="00B10E68">
        <w:rPr>
          <w:rFonts w:ascii="Arial" w:hAnsi="Arial" w:cs="Arial"/>
        </w:rPr>
        <w:t xml:space="preserve">; </w:t>
      </w:r>
      <w:r w:rsidR="00C2564E">
        <w:rPr>
          <w:rFonts w:ascii="Arial" w:hAnsi="Arial" w:cs="Arial"/>
        </w:rPr>
        <w:t>AEs</w:t>
      </w:r>
      <w:r w:rsidR="00C2564E" w:rsidRPr="00650A9F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>F(1,511)=15.24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p&lt;</w:t>
      </w:r>
      <w:r w:rsidR="006C5807">
        <w:rPr>
          <w:rFonts w:ascii="Arial" w:hAnsi="Arial" w:cs="Arial"/>
        </w:rPr>
        <w:t>0</w:t>
      </w:r>
      <w:r w:rsidRPr="00650A9F">
        <w:rPr>
          <w:rFonts w:ascii="Arial" w:hAnsi="Arial" w:cs="Arial"/>
        </w:rPr>
        <w:t>.001</w:t>
      </w:r>
      <w:r w:rsidR="00B10E68">
        <w:rPr>
          <w:rFonts w:ascii="Arial" w:hAnsi="Arial" w:cs="Arial"/>
        </w:rPr>
        <w:t>),</w:t>
      </w:r>
      <w:r w:rsidRPr="00650A9F">
        <w:rPr>
          <w:rFonts w:ascii="Arial" w:hAnsi="Arial" w:cs="Arial"/>
        </w:rPr>
        <w:t xml:space="preserve"> a higher number</w:t>
      </w:r>
      <w:r w:rsidR="00B10E68">
        <w:rPr>
          <w:rFonts w:ascii="Arial" w:hAnsi="Arial" w:cs="Arial"/>
        </w:rPr>
        <w:t xml:space="preserve"> of prolonged AEs</w:t>
      </w:r>
      <w:r w:rsidRPr="00650A9F">
        <w:rPr>
          <w:rFonts w:ascii="Arial" w:hAnsi="Arial" w:cs="Arial"/>
        </w:rPr>
        <w:t xml:space="preserve"> in those with pr</w:t>
      </w:r>
      <w:r w:rsidR="00D000D6">
        <w:rPr>
          <w:rFonts w:ascii="Arial" w:hAnsi="Arial" w:cs="Arial"/>
        </w:rPr>
        <w:t>ior</w:t>
      </w:r>
      <w:r w:rsidR="00764AFA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>COVID</w:t>
      </w:r>
      <w:r w:rsidR="00B10E68">
        <w:rPr>
          <w:rFonts w:ascii="Arial" w:hAnsi="Arial" w:cs="Arial"/>
        </w:rPr>
        <w:t xml:space="preserve">-19, </w:t>
      </w:r>
      <w:r w:rsidRPr="00650A9F">
        <w:rPr>
          <w:rFonts w:ascii="Arial" w:hAnsi="Arial" w:cs="Arial"/>
        </w:rPr>
        <w:t>than without (0.84</w:t>
      </w:r>
      <w:r w:rsidR="009418A3">
        <w:rPr>
          <w:rFonts w:ascii="Arial" w:hAnsi="Arial" w:cs="Arial"/>
        </w:rPr>
        <w:t>[</w:t>
      </w:r>
      <w:r w:rsidRPr="00650A9F">
        <w:rPr>
          <w:rFonts w:ascii="Arial" w:hAnsi="Arial" w:cs="Arial"/>
        </w:rPr>
        <w:t>0.69–1.00] v  0.57[0.42–0.72]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 xml:space="preserve"> </w:t>
      </w:r>
      <w:r w:rsidR="006832A9">
        <w:rPr>
          <w:rFonts w:ascii="Arial" w:hAnsi="Arial" w:cs="Arial"/>
        </w:rPr>
        <w:t>AEs</w:t>
      </w:r>
      <w:r w:rsidR="00B10E68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>(F(1,511)=4.09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p=</w:t>
      </w:r>
      <w:r w:rsidR="006C5807">
        <w:rPr>
          <w:rFonts w:ascii="Arial" w:hAnsi="Arial" w:cs="Arial"/>
        </w:rPr>
        <w:t>0</w:t>
      </w:r>
      <w:r w:rsidRPr="00650A9F">
        <w:rPr>
          <w:rFonts w:ascii="Arial" w:hAnsi="Arial" w:cs="Arial"/>
        </w:rPr>
        <w:t>.044</w:t>
      </w:r>
      <w:r w:rsidR="00B10E68">
        <w:rPr>
          <w:rFonts w:ascii="Arial" w:hAnsi="Arial" w:cs="Arial"/>
        </w:rPr>
        <w:t>),</w:t>
      </w:r>
      <w:r w:rsidRPr="00650A9F">
        <w:rPr>
          <w:rFonts w:ascii="Arial" w:hAnsi="Arial" w:cs="Arial"/>
        </w:rPr>
        <w:t xml:space="preserve"> and a significant interaction between these variables </w:t>
      </w:r>
      <w:r w:rsidR="00B10E68">
        <w:rPr>
          <w:rFonts w:ascii="Arial" w:hAnsi="Arial" w:cs="Arial"/>
        </w:rPr>
        <w:t>(</w:t>
      </w:r>
      <w:r w:rsidRPr="00650A9F">
        <w:rPr>
          <w:rFonts w:ascii="Arial" w:hAnsi="Arial" w:cs="Arial"/>
        </w:rPr>
        <w:t>F(1,511)–7.13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p=0.008</w:t>
      </w:r>
      <w:r w:rsidR="00B10E68">
        <w:rPr>
          <w:rFonts w:ascii="Arial" w:hAnsi="Arial" w:cs="Arial"/>
        </w:rPr>
        <w:t>)</w:t>
      </w:r>
      <w:r w:rsidRPr="00650A9F">
        <w:rPr>
          <w:rFonts w:ascii="Arial" w:hAnsi="Arial" w:cs="Arial"/>
        </w:rPr>
        <w:t xml:space="preserve">. </w:t>
      </w:r>
      <w:r w:rsidR="002844A0">
        <w:rPr>
          <w:rFonts w:ascii="Arial" w:hAnsi="Arial" w:cs="Arial"/>
        </w:rPr>
        <w:t>A</w:t>
      </w:r>
      <w:r w:rsidRPr="00650A9F">
        <w:rPr>
          <w:rFonts w:ascii="Arial" w:hAnsi="Arial" w:cs="Arial"/>
        </w:rPr>
        <w:t xml:space="preserve"> simple effects analysis </w:t>
      </w:r>
      <w:r w:rsidR="00B10E68">
        <w:rPr>
          <w:rFonts w:ascii="Arial" w:hAnsi="Arial" w:cs="Arial"/>
        </w:rPr>
        <w:t xml:space="preserve">showed </w:t>
      </w:r>
      <w:r w:rsidRPr="00650A9F">
        <w:rPr>
          <w:rFonts w:ascii="Arial" w:hAnsi="Arial" w:cs="Arial"/>
        </w:rPr>
        <w:t>that the number of prolonged moderate</w:t>
      </w:r>
      <w:r w:rsidR="00B10E68">
        <w:rPr>
          <w:rFonts w:ascii="Arial" w:hAnsi="Arial" w:cs="Arial"/>
        </w:rPr>
        <w:t>-</w:t>
      </w:r>
      <w:r w:rsidRPr="00650A9F">
        <w:rPr>
          <w:rFonts w:ascii="Arial" w:hAnsi="Arial" w:cs="Arial"/>
        </w:rPr>
        <w:t>to</w:t>
      </w:r>
      <w:r w:rsidR="00B10E68">
        <w:rPr>
          <w:rFonts w:ascii="Arial" w:hAnsi="Arial" w:cs="Arial"/>
        </w:rPr>
        <w:t>-</w:t>
      </w:r>
      <w:r w:rsidRPr="00650A9F">
        <w:rPr>
          <w:rFonts w:ascii="Arial" w:hAnsi="Arial" w:cs="Arial"/>
        </w:rPr>
        <w:t xml:space="preserve">severe </w:t>
      </w:r>
      <w:r w:rsidR="00B10E68">
        <w:rPr>
          <w:rFonts w:ascii="Arial" w:hAnsi="Arial" w:cs="Arial"/>
        </w:rPr>
        <w:t>AEs was</w:t>
      </w:r>
      <w:r w:rsidRPr="00650A9F">
        <w:rPr>
          <w:rFonts w:ascii="Arial" w:hAnsi="Arial" w:cs="Arial"/>
        </w:rPr>
        <w:t xml:space="preserve"> again only significantly higher </w:t>
      </w:r>
      <w:r w:rsidR="00B10E68">
        <w:rPr>
          <w:rFonts w:ascii="Arial" w:hAnsi="Arial" w:cs="Arial"/>
        </w:rPr>
        <w:t xml:space="preserve">following </w:t>
      </w:r>
      <w:r w:rsidR="006C5807" w:rsidRPr="0023648B">
        <w:rPr>
          <w:rFonts w:ascii="Arial" w:hAnsi="Arial" w:cs="Arial"/>
          <w:bCs/>
          <w:color w:val="000000" w:themeColor="text1"/>
        </w:rPr>
        <w:t>BNT162b2/Pfizer</w:t>
      </w:r>
      <w:r w:rsidR="006C5807" w:rsidRPr="00650A9F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 xml:space="preserve">vaccine </w:t>
      </w:r>
      <w:r w:rsidR="00B10E68">
        <w:rPr>
          <w:rFonts w:ascii="Arial" w:hAnsi="Arial" w:cs="Arial"/>
        </w:rPr>
        <w:t>(</w:t>
      </w:r>
      <w:r w:rsidRPr="00650A9F">
        <w:rPr>
          <w:rFonts w:ascii="Arial" w:hAnsi="Arial" w:cs="Arial"/>
        </w:rPr>
        <w:t>t(528)=3.03</w:t>
      </w:r>
      <w:r w:rsidR="002940C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d=0.28[0.10</w:t>
      </w:r>
      <w:r w:rsidR="002940C8">
        <w:rPr>
          <w:rFonts w:ascii="Arial" w:hAnsi="Arial" w:cs="Arial"/>
        </w:rPr>
        <w:t>-</w:t>
      </w:r>
      <w:r w:rsidRPr="00650A9F">
        <w:rPr>
          <w:rFonts w:ascii="Arial" w:hAnsi="Arial" w:cs="Arial"/>
        </w:rPr>
        <w:t>0.47]</w:t>
      </w:r>
      <w:r w:rsidR="00B10E6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p=0.003</w:t>
      </w:r>
      <w:r w:rsidR="00B10E68">
        <w:rPr>
          <w:rFonts w:ascii="Arial" w:hAnsi="Arial" w:cs="Arial"/>
        </w:rPr>
        <w:t>),</w:t>
      </w:r>
      <w:r w:rsidRPr="00650A9F">
        <w:rPr>
          <w:rFonts w:ascii="Arial" w:hAnsi="Arial" w:cs="Arial"/>
        </w:rPr>
        <w:t xml:space="preserve"> with no significant difference in prolong</w:t>
      </w:r>
      <w:r w:rsidR="005F30DB">
        <w:rPr>
          <w:rFonts w:ascii="Arial" w:hAnsi="Arial" w:cs="Arial"/>
        </w:rPr>
        <w:t>e</w:t>
      </w:r>
      <w:r w:rsidRPr="00650A9F">
        <w:rPr>
          <w:rFonts w:ascii="Arial" w:hAnsi="Arial" w:cs="Arial"/>
        </w:rPr>
        <w:t xml:space="preserve">d </w:t>
      </w:r>
      <w:r w:rsidR="00AE61BC">
        <w:rPr>
          <w:rFonts w:ascii="Arial" w:hAnsi="Arial" w:cs="Arial"/>
        </w:rPr>
        <w:t>AE</w:t>
      </w:r>
      <w:r w:rsidRPr="00650A9F">
        <w:rPr>
          <w:rFonts w:ascii="Arial" w:hAnsi="Arial" w:cs="Arial"/>
        </w:rPr>
        <w:t xml:space="preserve">s for </w:t>
      </w:r>
      <w:r w:rsidR="00AE61BC">
        <w:rPr>
          <w:rFonts w:ascii="Arial" w:hAnsi="Arial" w:cs="Arial"/>
        </w:rPr>
        <w:t xml:space="preserve">the </w:t>
      </w:r>
      <w:r w:rsidR="00FF5FCE">
        <w:rPr>
          <w:rFonts w:ascii="Arial" w:hAnsi="Arial" w:cs="Arial"/>
        </w:rPr>
        <w:t>influenza</w:t>
      </w:r>
      <w:r w:rsidR="00FF5FCE" w:rsidRPr="00650A9F">
        <w:rPr>
          <w:rFonts w:ascii="Arial" w:hAnsi="Arial" w:cs="Arial"/>
        </w:rPr>
        <w:t xml:space="preserve"> </w:t>
      </w:r>
      <w:r w:rsidRPr="00650A9F">
        <w:rPr>
          <w:rFonts w:ascii="Arial" w:hAnsi="Arial" w:cs="Arial"/>
        </w:rPr>
        <w:t xml:space="preserve">vaccine </w:t>
      </w:r>
      <w:r w:rsidR="00AE61BC">
        <w:rPr>
          <w:rFonts w:ascii="Arial" w:hAnsi="Arial" w:cs="Arial"/>
        </w:rPr>
        <w:t>(</w:t>
      </w:r>
      <w:r w:rsidRPr="00650A9F">
        <w:rPr>
          <w:rFonts w:ascii="Arial" w:hAnsi="Arial" w:cs="Arial"/>
        </w:rPr>
        <w:t>t(532)=0.44</w:t>
      </w:r>
      <w:r w:rsidR="002940C8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d=0.04[-0.14–0.22]</w:t>
      </w:r>
      <w:r w:rsidR="00AE61BC">
        <w:rPr>
          <w:rFonts w:ascii="Arial" w:hAnsi="Arial" w:cs="Arial"/>
        </w:rPr>
        <w:t>;</w:t>
      </w:r>
      <w:r w:rsidRPr="00650A9F">
        <w:rPr>
          <w:rFonts w:ascii="Arial" w:hAnsi="Arial" w:cs="Arial"/>
        </w:rPr>
        <w:t>p=0.66</w:t>
      </w:r>
      <w:r w:rsidR="00AE61BC">
        <w:rPr>
          <w:rFonts w:ascii="Arial" w:hAnsi="Arial" w:cs="Arial"/>
        </w:rPr>
        <w:t xml:space="preserve">). </w:t>
      </w:r>
    </w:p>
    <w:p w14:paraId="50A99FBA" w14:textId="77777777" w:rsidR="00554922" w:rsidRPr="00650A9F" w:rsidRDefault="00554922" w:rsidP="00554922">
      <w:pPr>
        <w:spacing w:line="480" w:lineRule="auto"/>
        <w:jc w:val="both"/>
        <w:rPr>
          <w:rFonts w:ascii="Arial" w:hAnsi="Arial" w:cs="Arial"/>
        </w:rPr>
      </w:pPr>
    </w:p>
    <w:p w14:paraId="4658B262" w14:textId="3136BEED" w:rsidR="004420A0" w:rsidRDefault="00650A9F" w:rsidP="00AE61BC">
      <w:pPr>
        <w:spacing w:line="480" w:lineRule="auto"/>
        <w:jc w:val="both"/>
        <w:rPr>
          <w:rFonts w:ascii="Arial" w:hAnsi="Arial" w:cs="Arial"/>
        </w:rPr>
      </w:pPr>
      <w:r w:rsidRPr="00650A9F">
        <w:rPr>
          <w:rFonts w:ascii="Arial" w:hAnsi="Arial" w:cs="Arial"/>
        </w:rPr>
        <w:t>Incidence of</w:t>
      </w:r>
      <w:r w:rsidR="00E81462">
        <w:rPr>
          <w:rFonts w:ascii="Arial" w:hAnsi="Arial" w:cs="Arial"/>
        </w:rPr>
        <w:t xml:space="preserve"> each type of </w:t>
      </w:r>
      <w:r w:rsidR="00AE61BC">
        <w:rPr>
          <w:rFonts w:ascii="Arial" w:hAnsi="Arial" w:cs="Arial"/>
        </w:rPr>
        <w:t xml:space="preserve">AE following </w:t>
      </w:r>
      <w:r w:rsidR="00AE61BC" w:rsidRPr="0023648B">
        <w:rPr>
          <w:rFonts w:ascii="Arial" w:hAnsi="Arial" w:cs="Arial"/>
          <w:bCs/>
          <w:color w:val="000000" w:themeColor="text1"/>
        </w:rPr>
        <w:t>BNT162b2/Pfizer</w:t>
      </w:r>
      <w:r w:rsidRPr="00650A9F">
        <w:rPr>
          <w:rFonts w:ascii="Arial" w:hAnsi="Arial" w:cs="Arial"/>
        </w:rPr>
        <w:t xml:space="preserve"> </w:t>
      </w:r>
      <w:r w:rsidR="00AE61BC">
        <w:rPr>
          <w:rFonts w:ascii="Arial" w:hAnsi="Arial" w:cs="Arial"/>
        </w:rPr>
        <w:t xml:space="preserve">dose three </w:t>
      </w:r>
      <w:r w:rsidRPr="00650A9F">
        <w:rPr>
          <w:rFonts w:ascii="Arial" w:hAnsi="Arial" w:cs="Arial"/>
        </w:rPr>
        <w:t xml:space="preserve">for those with and without </w:t>
      </w:r>
      <w:r w:rsidR="00AE61BC">
        <w:rPr>
          <w:rFonts w:ascii="Arial" w:hAnsi="Arial" w:cs="Arial"/>
        </w:rPr>
        <w:t>prior</w:t>
      </w:r>
      <w:r w:rsidR="00764AFA">
        <w:rPr>
          <w:rFonts w:ascii="Arial" w:hAnsi="Arial" w:cs="Arial"/>
        </w:rPr>
        <w:t xml:space="preserve"> </w:t>
      </w:r>
      <w:r w:rsidR="00AE61BC">
        <w:rPr>
          <w:rFonts w:ascii="Arial" w:hAnsi="Arial" w:cs="Arial"/>
        </w:rPr>
        <w:t xml:space="preserve">COVID-19, is </w:t>
      </w:r>
      <w:r w:rsidR="00AE61BC" w:rsidRPr="00650A9F">
        <w:rPr>
          <w:rFonts w:ascii="Arial" w:hAnsi="Arial" w:cs="Arial"/>
        </w:rPr>
        <w:t xml:space="preserve">shown in </w:t>
      </w:r>
      <w:r w:rsidR="00AE61BC">
        <w:rPr>
          <w:rFonts w:ascii="Arial" w:hAnsi="Arial" w:cs="Arial"/>
        </w:rPr>
        <w:t>Table 2</w:t>
      </w:r>
      <w:r w:rsidR="00E74598">
        <w:rPr>
          <w:rFonts w:ascii="Arial" w:hAnsi="Arial" w:cs="Arial"/>
        </w:rPr>
        <w:t>.</w:t>
      </w:r>
      <w:r w:rsidR="00AE61BC" w:rsidRPr="00AE61BC">
        <w:rPr>
          <w:rFonts w:ascii="Arial" w:hAnsi="Arial" w:cs="Arial"/>
        </w:rPr>
        <w:t xml:space="preserve"> </w:t>
      </w:r>
      <w:r w:rsidR="00AE61BC" w:rsidRPr="00E74598">
        <w:rPr>
          <w:rFonts w:ascii="Arial" w:hAnsi="Arial" w:cs="Arial"/>
        </w:rPr>
        <w:t>As in</w:t>
      </w:r>
      <w:r w:rsidR="00AE61BC">
        <w:rPr>
          <w:rFonts w:ascii="Arial" w:hAnsi="Arial" w:cs="Arial"/>
        </w:rPr>
        <w:t xml:space="preserve"> our</w:t>
      </w:r>
      <w:r w:rsidR="00AE61BC" w:rsidRPr="00E74598">
        <w:rPr>
          <w:rFonts w:ascii="Arial" w:hAnsi="Arial" w:cs="Arial"/>
        </w:rPr>
        <w:t xml:space="preserve"> previous work</w:t>
      </w:r>
      <w:r w:rsidR="00AE61BC">
        <w:rPr>
          <w:rFonts w:ascii="Arial" w:hAnsi="Arial" w:cs="Arial"/>
        </w:rPr>
        <w:t xml:space="preserve">, the </w:t>
      </w:r>
      <w:r w:rsidR="00AE61BC" w:rsidRPr="00E74598">
        <w:rPr>
          <w:rFonts w:ascii="Arial" w:hAnsi="Arial" w:cs="Arial"/>
        </w:rPr>
        <w:t xml:space="preserve">cluster of headache, fatigue, myalgia and arthralgia </w:t>
      </w:r>
      <w:r w:rsidR="00AE61BC">
        <w:rPr>
          <w:rFonts w:ascii="Arial" w:hAnsi="Arial" w:cs="Arial"/>
        </w:rPr>
        <w:t>were most</w:t>
      </w:r>
      <w:r w:rsidR="00AE61BC" w:rsidRPr="00E74598">
        <w:rPr>
          <w:rFonts w:ascii="Arial" w:hAnsi="Arial" w:cs="Arial"/>
        </w:rPr>
        <w:t xml:space="preserve"> common in </w:t>
      </w:r>
      <w:r w:rsidR="00AE61BC">
        <w:rPr>
          <w:rFonts w:ascii="Arial" w:hAnsi="Arial" w:cs="Arial"/>
        </w:rPr>
        <w:t>HCWs with prior</w:t>
      </w:r>
      <w:r w:rsidR="00764AFA">
        <w:rPr>
          <w:rFonts w:ascii="Arial" w:hAnsi="Arial" w:cs="Arial"/>
        </w:rPr>
        <w:t xml:space="preserve"> </w:t>
      </w:r>
      <w:r w:rsidR="00AE61BC">
        <w:rPr>
          <w:rFonts w:ascii="Arial" w:hAnsi="Arial" w:cs="Arial"/>
        </w:rPr>
        <w:t>COVID-19</w:t>
      </w:r>
      <w:r w:rsidR="00AE61BC" w:rsidRPr="00E74598">
        <w:rPr>
          <w:rFonts w:ascii="Arial" w:hAnsi="Arial" w:cs="Arial"/>
        </w:rPr>
        <w:t>. Overall</w:t>
      </w:r>
      <w:r w:rsidR="00AE61BC">
        <w:rPr>
          <w:rFonts w:ascii="Arial" w:hAnsi="Arial" w:cs="Arial"/>
        </w:rPr>
        <w:t xml:space="preserve">, </w:t>
      </w:r>
      <w:r w:rsidR="00AE61BC" w:rsidRPr="00E74598">
        <w:rPr>
          <w:rFonts w:ascii="Arial" w:hAnsi="Arial" w:cs="Arial"/>
        </w:rPr>
        <w:t xml:space="preserve">the incidence of </w:t>
      </w:r>
      <w:r w:rsidR="006832A9">
        <w:rPr>
          <w:rFonts w:ascii="Arial" w:hAnsi="Arial" w:cs="Arial"/>
        </w:rPr>
        <w:t>AEs</w:t>
      </w:r>
      <w:r w:rsidR="00AE61BC" w:rsidRPr="00E74598">
        <w:rPr>
          <w:rFonts w:ascii="Arial" w:hAnsi="Arial" w:cs="Arial"/>
        </w:rPr>
        <w:t xml:space="preserve"> to </w:t>
      </w:r>
      <w:r w:rsidR="00AE61BC">
        <w:rPr>
          <w:rFonts w:ascii="Arial" w:hAnsi="Arial" w:cs="Arial"/>
        </w:rPr>
        <w:t>dose three were</w:t>
      </w:r>
      <w:r w:rsidR="00AE61BC" w:rsidRPr="00E74598">
        <w:rPr>
          <w:rFonts w:ascii="Arial" w:hAnsi="Arial" w:cs="Arial"/>
        </w:rPr>
        <w:t xml:space="preserve"> remarkably like th</w:t>
      </w:r>
      <w:r w:rsidR="00AE61BC">
        <w:rPr>
          <w:rFonts w:ascii="Arial" w:hAnsi="Arial" w:cs="Arial"/>
        </w:rPr>
        <w:t xml:space="preserve">ose following the first two </w:t>
      </w:r>
      <w:r w:rsidR="00AE61BC" w:rsidRPr="00E74598">
        <w:rPr>
          <w:rFonts w:ascii="Arial" w:hAnsi="Arial" w:cs="Arial"/>
        </w:rPr>
        <w:t>doses</w:t>
      </w:r>
      <w:r w:rsidR="00AE61BC">
        <w:rPr>
          <w:rFonts w:ascii="Arial" w:hAnsi="Arial" w:cs="Arial"/>
        </w:rPr>
        <w:t>.</w:t>
      </w:r>
      <w:r w:rsidR="00572A18">
        <w:rPr>
          <w:rFonts w:ascii="Arial" w:hAnsi="Arial" w:cs="Arial"/>
        </w:rPr>
        <w:t xml:space="preserve"> </w:t>
      </w:r>
      <w:r w:rsidR="00D1605B">
        <w:rPr>
          <w:rFonts w:ascii="Arial" w:hAnsi="Arial" w:cs="Arial"/>
        </w:rPr>
        <w:t>Looking at the types of AEs most frequently reported, h</w:t>
      </w:r>
      <w:r w:rsidR="00E74598" w:rsidRPr="00DF5C78">
        <w:rPr>
          <w:rFonts w:ascii="Arial" w:hAnsi="Arial" w:cs="Arial"/>
        </w:rPr>
        <w:t xml:space="preserve">eadache, fatigue, and myalgia </w:t>
      </w:r>
      <w:r w:rsidR="00DF5C78">
        <w:rPr>
          <w:rFonts w:ascii="Arial" w:hAnsi="Arial" w:cs="Arial"/>
        </w:rPr>
        <w:t>were</w:t>
      </w:r>
      <w:r w:rsidR="00E74598" w:rsidRPr="00DF5C78">
        <w:rPr>
          <w:rFonts w:ascii="Arial" w:hAnsi="Arial" w:cs="Arial"/>
        </w:rPr>
        <w:t xml:space="preserve"> associated with </w:t>
      </w:r>
      <w:r w:rsidR="00DF5C78">
        <w:rPr>
          <w:rFonts w:ascii="Arial" w:hAnsi="Arial" w:cs="Arial"/>
        </w:rPr>
        <w:t>prior</w:t>
      </w:r>
      <w:r w:rsidR="00764AFA">
        <w:rPr>
          <w:rFonts w:ascii="Arial" w:hAnsi="Arial" w:cs="Arial"/>
        </w:rPr>
        <w:t xml:space="preserve"> </w:t>
      </w:r>
      <w:r w:rsidR="00DF5C78">
        <w:rPr>
          <w:rFonts w:ascii="Arial" w:hAnsi="Arial" w:cs="Arial"/>
        </w:rPr>
        <w:t xml:space="preserve">COVID-19 </w:t>
      </w:r>
      <w:r w:rsidR="007D1E1A">
        <w:rPr>
          <w:rFonts w:ascii="Arial" w:hAnsi="Arial" w:cs="Arial"/>
        </w:rPr>
        <w:t>for the</w:t>
      </w:r>
      <w:r w:rsidR="00E74598" w:rsidRPr="00DF5C78">
        <w:rPr>
          <w:rFonts w:ascii="Arial" w:hAnsi="Arial" w:cs="Arial"/>
        </w:rPr>
        <w:t xml:space="preserve"> </w:t>
      </w:r>
      <w:r w:rsidR="007D1E1A" w:rsidRPr="00282EFC">
        <w:rPr>
          <w:rFonts w:ascii="Arial" w:hAnsi="Arial" w:cs="Arial"/>
          <w:bCs/>
          <w:color w:val="000000" w:themeColor="text1"/>
        </w:rPr>
        <w:t>third/booster dose of BNT162b2/Pfizer</w:t>
      </w:r>
      <w:r w:rsidR="00DF5C78">
        <w:rPr>
          <w:rFonts w:ascii="Arial" w:hAnsi="Arial" w:cs="Arial"/>
        </w:rPr>
        <w:t xml:space="preserve">, </w:t>
      </w:r>
      <w:r w:rsidR="00E74598" w:rsidRPr="00DF5C78">
        <w:rPr>
          <w:rFonts w:ascii="Arial" w:hAnsi="Arial" w:cs="Arial"/>
        </w:rPr>
        <w:t>after correcting for multiple comparisons, age and gender</w:t>
      </w:r>
      <w:r w:rsidR="004420A0">
        <w:rPr>
          <w:rFonts w:ascii="Arial" w:hAnsi="Arial" w:cs="Arial"/>
        </w:rPr>
        <w:t xml:space="preserve"> (</w:t>
      </w:r>
      <w:r w:rsidR="00A41F03">
        <w:rPr>
          <w:rFonts w:ascii="Arial" w:hAnsi="Arial" w:cs="Arial"/>
        </w:rPr>
        <w:t xml:space="preserve">Fig 2; </w:t>
      </w:r>
      <w:r w:rsidR="004420A0">
        <w:rPr>
          <w:rFonts w:ascii="Arial" w:hAnsi="Arial" w:cs="Arial"/>
        </w:rPr>
        <w:t>Table 2)</w:t>
      </w:r>
      <w:r w:rsidR="00E74598" w:rsidRPr="00DF5C78">
        <w:rPr>
          <w:rFonts w:ascii="Arial" w:hAnsi="Arial" w:cs="Arial"/>
        </w:rPr>
        <w:t xml:space="preserve">. </w:t>
      </w:r>
      <w:r w:rsidR="00DF5C78">
        <w:rPr>
          <w:rFonts w:ascii="Arial" w:hAnsi="Arial" w:cs="Arial"/>
        </w:rPr>
        <w:t>The effect for a</w:t>
      </w:r>
      <w:r w:rsidR="00E74598" w:rsidRPr="00DF5C78">
        <w:rPr>
          <w:rFonts w:ascii="Arial" w:hAnsi="Arial" w:cs="Arial"/>
        </w:rPr>
        <w:t xml:space="preserve">rthralgia </w:t>
      </w:r>
      <w:r w:rsidR="00DF5C78">
        <w:rPr>
          <w:rFonts w:ascii="Arial" w:hAnsi="Arial" w:cs="Arial"/>
        </w:rPr>
        <w:t>was</w:t>
      </w:r>
      <w:r w:rsidR="00E74598" w:rsidRPr="00DF5C78">
        <w:rPr>
          <w:rFonts w:ascii="Arial" w:hAnsi="Arial" w:cs="Arial"/>
        </w:rPr>
        <w:t xml:space="preserve"> very nearly significant</w:t>
      </w:r>
      <w:r w:rsidR="00DF5C78">
        <w:rPr>
          <w:rFonts w:ascii="Arial" w:hAnsi="Arial" w:cs="Arial"/>
        </w:rPr>
        <w:t xml:space="preserve"> (p=</w:t>
      </w:r>
      <w:r w:rsidR="00E10013">
        <w:rPr>
          <w:rFonts w:ascii="Arial" w:hAnsi="Arial" w:cs="Arial"/>
        </w:rPr>
        <w:t>0.06</w:t>
      </w:r>
      <w:r w:rsidR="00DF5C78">
        <w:rPr>
          <w:rFonts w:ascii="Arial" w:hAnsi="Arial" w:cs="Arial"/>
        </w:rPr>
        <w:t>)</w:t>
      </w:r>
      <w:r w:rsidR="00E74598" w:rsidRPr="00DF5C78">
        <w:rPr>
          <w:rFonts w:ascii="Arial" w:hAnsi="Arial" w:cs="Arial"/>
        </w:rPr>
        <w:t xml:space="preserve">. </w:t>
      </w:r>
      <w:r w:rsidR="00AE61BC" w:rsidRPr="00DF5C78">
        <w:rPr>
          <w:rFonts w:ascii="Arial" w:hAnsi="Arial" w:cs="Arial"/>
        </w:rPr>
        <w:t xml:space="preserve"> </w:t>
      </w:r>
      <w:r w:rsidR="00E74598" w:rsidRPr="00DF5C78">
        <w:rPr>
          <w:rFonts w:ascii="Arial" w:hAnsi="Arial" w:cs="Arial"/>
        </w:rPr>
        <w:t>A similar analysis for time</w:t>
      </w:r>
      <w:r w:rsidR="00DF5C78">
        <w:rPr>
          <w:rFonts w:ascii="Arial" w:hAnsi="Arial" w:cs="Arial"/>
        </w:rPr>
        <w:t xml:space="preserve"> interval</w:t>
      </w:r>
      <w:r w:rsidR="00E74598" w:rsidRPr="00DF5C78">
        <w:rPr>
          <w:rFonts w:ascii="Arial" w:hAnsi="Arial" w:cs="Arial"/>
        </w:rPr>
        <w:t xml:space="preserve"> between </w:t>
      </w:r>
      <w:r w:rsidR="00427A78">
        <w:rPr>
          <w:rFonts w:ascii="Arial" w:hAnsi="Arial" w:cs="Arial"/>
        </w:rPr>
        <w:t xml:space="preserve">influenza </w:t>
      </w:r>
      <w:r w:rsidR="00DF5C78">
        <w:rPr>
          <w:rFonts w:ascii="Arial" w:hAnsi="Arial" w:cs="Arial"/>
        </w:rPr>
        <w:t xml:space="preserve">and </w:t>
      </w:r>
      <w:r w:rsidR="00DF5C78" w:rsidRPr="0023648B">
        <w:rPr>
          <w:rFonts w:ascii="Arial" w:hAnsi="Arial" w:cs="Arial"/>
          <w:bCs/>
          <w:color w:val="000000" w:themeColor="text1"/>
        </w:rPr>
        <w:t>BNT162b2/Pfizer</w:t>
      </w:r>
      <w:r w:rsidR="00DF5C78">
        <w:rPr>
          <w:rFonts w:ascii="Arial" w:hAnsi="Arial" w:cs="Arial"/>
          <w:bCs/>
          <w:color w:val="000000" w:themeColor="text1"/>
        </w:rPr>
        <w:t xml:space="preserve"> dose three, found no</w:t>
      </w:r>
      <w:r w:rsidR="00E74598" w:rsidRPr="00DF5C78">
        <w:rPr>
          <w:rFonts w:ascii="Arial" w:hAnsi="Arial" w:cs="Arial"/>
        </w:rPr>
        <w:t xml:space="preserve"> significant relationship for occurrence of any of </w:t>
      </w:r>
      <w:r w:rsidR="00DF5C78">
        <w:rPr>
          <w:rFonts w:ascii="Arial" w:hAnsi="Arial" w:cs="Arial"/>
        </w:rPr>
        <w:t>the vaccine-associated AEs</w:t>
      </w:r>
      <w:r w:rsidR="00E74598" w:rsidRPr="00DF5C78">
        <w:rPr>
          <w:rFonts w:ascii="Arial" w:hAnsi="Arial" w:cs="Arial"/>
        </w:rPr>
        <w:t xml:space="preserve"> (all p&gt;</w:t>
      </w:r>
      <w:r w:rsidR="00E10013">
        <w:rPr>
          <w:rFonts w:ascii="Arial" w:hAnsi="Arial" w:cs="Arial"/>
        </w:rPr>
        <w:t>0</w:t>
      </w:r>
      <w:r w:rsidR="00E74598" w:rsidRPr="00DF5C78">
        <w:rPr>
          <w:rFonts w:ascii="Arial" w:hAnsi="Arial" w:cs="Arial"/>
        </w:rPr>
        <w:t>.9)</w:t>
      </w:r>
      <w:r w:rsidR="00AE61BC" w:rsidRPr="00DF5C78">
        <w:rPr>
          <w:rFonts w:ascii="Arial" w:hAnsi="Arial" w:cs="Arial"/>
        </w:rPr>
        <w:t xml:space="preserve">. </w:t>
      </w:r>
    </w:p>
    <w:p w14:paraId="0D645767" w14:textId="77777777" w:rsidR="004420A0" w:rsidRPr="00E74598" w:rsidRDefault="004420A0" w:rsidP="004420A0">
      <w:pPr>
        <w:spacing w:line="480" w:lineRule="auto"/>
        <w:jc w:val="both"/>
        <w:rPr>
          <w:rFonts w:ascii="Arial" w:hAnsi="Arial" w:cs="Arial"/>
        </w:rPr>
      </w:pPr>
    </w:p>
    <w:p w14:paraId="5D79D199" w14:textId="51E14703" w:rsidR="004420A0" w:rsidRPr="00E74598" w:rsidRDefault="004420A0" w:rsidP="004420A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- Insert Table 2</w:t>
      </w:r>
      <w:r w:rsidR="00A41F03">
        <w:rPr>
          <w:rFonts w:ascii="Arial" w:hAnsi="Arial" w:cs="Arial"/>
          <w:noProof/>
        </w:rPr>
        <w:t xml:space="preserve"> and Fig</w:t>
      </w:r>
      <w:r w:rsidR="00A1216B">
        <w:rPr>
          <w:rFonts w:ascii="Arial" w:hAnsi="Arial" w:cs="Arial"/>
          <w:noProof/>
        </w:rPr>
        <w:t xml:space="preserve"> </w:t>
      </w:r>
      <w:r w:rsidR="00A41F03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– </w:t>
      </w:r>
    </w:p>
    <w:p w14:paraId="119DA226" w14:textId="77777777" w:rsidR="00DF5C78" w:rsidRPr="002E3354" w:rsidRDefault="00DF5C78" w:rsidP="00AE61BC">
      <w:pPr>
        <w:spacing w:line="480" w:lineRule="auto"/>
        <w:jc w:val="both"/>
        <w:rPr>
          <w:rFonts w:ascii="Arial" w:hAnsi="Arial" w:cs="Arial"/>
          <w:color w:val="FF0000"/>
        </w:rPr>
      </w:pPr>
    </w:p>
    <w:p w14:paraId="23E620D1" w14:textId="2C0ED2B7" w:rsidR="003709BE" w:rsidRDefault="00E74598" w:rsidP="00AE61BC">
      <w:pPr>
        <w:spacing w:line="480" w:lineRule="auto"/>
        <w:jc w:val="both"/>
        <w:rPr>
          <w:rFonts w:ascii="Arial" w:hAnsi="Arial" w:cs="Arial"/>
        </w:rPr>
      </w:pPr>
      <w:r w:rsidRPr="00C548DE">
        <w:rPr>
          <w:rFonts w:ascii="Arial" w:hAnsi="Arial" w:cs="Arial"/>
          <w:color w:val="000000" w:themeColor="text1"/>
        </w:rPr>
        <w:t xml:space="preserve">Comparing the subset of </w:t>
      </w:r>
      <w:r w:rsidR="00DF5C78" w:rsidRPr="00C548DE">
        <w:rPr>
          <w:rFonts w:ascii="Arial" w:hAnsi="Arial" w:cs="Arial"/>
          <w:color w:val="000000" w:themeColor="text1"/>
        </w:rPr>
        <w:t>HCWs with OCS</w:t>
      </w:r>
      <w:r w:rsidRPr="00C548DE">
        <w:rPr>
          <w:rFonts w:ascii="Arial" w:hAnsi="Arial" w:cs="Arial"/>
          <w:color w:val="000000" w:themeColor="text1"/>
        </w:rPr>
        <w:t xml:space="preserve"> (n=32)</w:t>
      </w:r>
      <w:r w:rsidR="00DF5C78" w:rsidRPr="00C548DE">
        <w:rPr>
          <w:rFonts w:ascii="Arial" w:hAnsi="Arial" w:cs="Arial"/>
          <w:color w:val="000000" w:themeColor="text1"/>
        </w:rPr>
        <w:t xml:space="preserve">, with those without OCS, </w:t>
      </w:r>
      <w:r w:rsidRPr="00C548DE">
        <w:rPr>
          <w:rFonts w:ascii="Arial" w:hAnsi="Arial" w:cs="Arial"/>
          <w:color w:val="000000" w:themeColor="text1"/>
        </w:rPr>
        <w:t xml:space="preserve">there was a similar reduction in number of </w:t>
      </w:r>
      <w:r w:rsidR="00DF5C78" w:rsidRPr="00C548DE">
        <w:rPr>
          <w:rFonts w:ascii="Arial" w:hAnsi="Arial" w:cs="Arial"/>
          <w:color w:val="000000" w:themeColor="text1"/>
        </w:rPr>
        <w:t>AEs</w:t>
      </w:r>
      <w:r w:rsidR="003709BE" w:rsidRPr="00C548DE">
        <w:rPr>
          <w:rFonts w:ascii="Arial" w:hAnsi="Arial" w:cs="Arial"/>
          <w:color w:val="000000" w:themeColor="text1"/>
        </w:rPr>
        <w:t xml:space="preserve"> </w:t>
      </w:r>
      <w:r w:rsidR="00DF5C78" w:rsidRPr="00C548DE">
        <w:rPr>
          <w:rFonts w:ascii="Arial" w:hAnsi="Arial" w:cs="Arial"/>
          <w:color w:val="000000" w:themeColor="text1"/>
        </w:rPr>
        <w:t xml:space="preserve">to </w:t>
      </w:r>
      <w:r w:rsidR="00DF5C78" w:rsidRPr="00C548DE">
        <w:rPr>
          <w:rFonts w:ascii="Arial" w:hAnsi="Arial" w:cs="Arial"/>
          <w:bCs/>
          <w:color w:val="000000" w:themeColor="text1"/>
        </w:rPr>
        <w:t>BNT162b2/Pfizer</w:t>
      </w:r>
      <w:r w:rsidR="00DF5C78" w:rsidRPr="00C548DE">
        <w:rPr>
          <w:rFonts w:ascii="Arial" w:hAnsi="Arial" w:cs="Arial"/>
          <w:color w:val="000000" w:themeColor="text1"/>
        </w:rPr>
        <w:t xml:space="preserve"> dose three, </w:t>
      </w:r>
      <w:r w:rsidRPr="00C548DE">
        <w:rPr>
          <w:rFonts w:ascii="Arial" w:hAnsi="Arial" w:cs="Arial"/>
          <w:color w:val="000000" w:themeColor="text1"/>
        </w:rPr>
        <w:t xml:space="preserve">compared to doses one and two </w:t>
      </w:r>
      <w:r w:rsidR="00DF5C78" w:rsidRPr="00C548DE">
        <w:rPr>
          <w:rFonts w:ascii="Arial" w:hAnsi="Arial" w:cs="Arial"/>
          <w:color w:val="000000" w:themeColor="text1"/>
        </w:rPr>
        <w:t>(</w:t>
      </w:r>
      <w:r w:rsidRPr="00C548DE">
        <w:rPr>
          <w:rFonts w:ascii="Arial" w:hAnsi="Arial" w:cs="Arial"/>
          <w:color w:val="000000" w:themeColor="text1"/>
        </w:rPr>
        <w:t>F(1.82,957.8)=11.89</w:t>
      </w:r>
      <w:r w:rsidR="00DF5C78" w:rsidRPr="00C548DE">
        <w:rPr>
          <w:rFonts w:ascii="Arial" w:hAnsi="Arial" w:cs="Arial"/>
          <w:color w:val="000000" w:themeColor="text1"/>
        </w:rPr>
        <w:t>;</w:t>
      </w:r>
      <w:r w:rsidRPr="00C548DE">
        <w:rPr>
          <w:rFonts w:ascii="Arial" w:hAnsi="Arial" w:cs="Arial"/>
          <w:color w:val="000000" w:themeColor="text1"/>
        </w:rPr>
        <w:t>p&lt;0.001; dose one 2.91[2.41–3.4]</w:t>
      </w:r>
      <w:r w:rsidR="00DF5C78" w:rsidRPr="00C548DE">
        <w:rPr>
          <w:rFonts w:ascii="Arial" w:hAnsi="Arial" w:cs="Arial"/>
          <w:color w:val="000000" w:themeColor="text1"/>
        </w:rPr>
        <w:t xml:space="preserve">; </w:t>
      </w:r>
      <w:r w:rsidRPr="00C548DE">
        <w:rPr>
          <w:rFonts w:ascii="Arial" w:hAnsi="Arial" w:cs="Arial"/>
          <w:color w:val="000000" w:themeColor="text1"/>
        </w:rPr>
        <w:t>dose two 2.48[1.97–2.98]</w:t>
      </w:r>
      <w:r w:rsidR="00DF5C78" w:rsidRPr="00C548DE">
        <w:rPr>
          <w:rFonts w:ascii="Arial" w:hAnsi="Arial" w:cs="Arial"/>
          <w:color w:val="000000" w:themeColor="text1"/>
        </w:rPr>
        <w:t xml:space="preserve">; dose </w:t>
      </w:r>
      <w:r w:rsidR="00DF5C78" w:rsidRPr="00C548DE">
        <w:rPr>
          <w:rFonts w:ascii="Arial" w:hAnsi="Arial" w:cs="Arial"/>
          <w:color w:val="000000" w:themeColor="text1"/>
        </w:rPr>
        <w:lastRenderedPageBreak/>
        <w:t xml:space="preserve">three </w:t>
      </w:r>
      <w:r w:rsidRPr="00C548DE">
        <w:rPr>
          <w:rFonts w:ascii="Arial" w:hAnsi="Arial" w:cs="Arial"/>
          <w:color w:val="000000" w:themeColor="text1"/>
        </w:rPr>
        <w:t>1.44[1.08–1.80]</w:t>
      </w:r>
      <w:r w:rsidR="00DF5C78" w:rsidRPr="00C548DE">
        <w:rPr>
          <w:rFonts w:ascii="Arial" w:hAnsi="Arial" w:cs="Arial"/>
          <w:color w:val="000000" w:themeColor="text1"/>
        </w:rPr>
        <w:t>;</w:t>
      </w:r>
      <w:r w:rsidRPr="00C548DE">
        <w:rPr>
          <w:rFonts w:ascii="Arial" w:hAnsi="Arial" w:cs="Arial"/>
          <w:color w:val="000000" w:themeColor="text1"/>
        </w:rPr>
        <w:t xml:space="preserve"> Bonferroni</w:t>
      </w:r>
      <w:r w:rsidR="00FF5FCE">
        <w:rPr>
          <w:rFonts w:ascii="Arial" w:hAnsi="Arial" w:cs="Arial"/>
          <w:color w:val="000000" w:themeColor="text1"/>
        </w:rPr>
        <w:t>-</w:t>
      </w:r>
      <w:r w:rsidRPr="00C548DE">
        <w:rPr>
          <w:rFonts w:ascii="Arial" w:hAnsi="Arial" w:cs="Arial"/>
          <w:color w:val="000000" w:themeColor="text1"/>
        </w:rPr>
        <w:t xml:space="preserve">corrected post-hoc for dose three being significantly different </w:t>
      </w:r>
      <w:r w:rsidR="00FF5FCE" w:rsidRPr="00C548DE">
        <w:rPr>
          <w:rFonts w:ascii="Arial" w:hAnsi="Arial" w:cs="Arial"/>
          <w:color w:val="000000" w:themeColor="text1"/>
        </w:rPr>
        <w:t xml:space="preserve">[p&lt;0.05] </w:t>
      </w:r>
      <w:r w:rsidRPr="00C548DE">
        <w:rPr>
          <w:rFonts w:ascii="Arial" w:hAnsi="Arial" w:cs="Arial"/>
          <w:color w:val="000000" w:themeColor="text1"/>
        </w:rPr>
        <w:t>to dose</w:t>
      </w:r>
      <w:r w:rsidR="003709BE" w:rsidRPr="00C548DE">
        <w:rPr>
          <w:rFonts w:ascii="Arial" w:hAnsi="Arial" w:cs="Arial"/>
          <w:color w:val="000000" w:themeColor="text1"/>
        </w:rPr>
        <w:t>s</w:t>
      </w:r>
      <w:r w:rsidRPr="00C548DE">
        <w:rPr>
          <w:rFonts w:ascii="Arial" w:hAnsi="Arial" w:cs="Arial"/>
          <w:color w:val="000000" w:themeColor="text1"/>
        </w:rPr>
        <w:t xml:space="preserve"> one </w:t>
      </w:r>
      <w:r w:rsidR="003709BE" w:rsidRPr="00C548DE">
        <w:rPr>
          <w:rFonts w:ascii="Arial" w:hAnsi="Arial" w:cs="Arial"/>
          <w:color w:val="000000" w:themeColor="text1"/>
        </w:rPr>
        <w:t>and</w:t>
      </w:r>
      <w:r w:rsidRPr="00C548DE">
        <w:rPr>
          <w:rFonts w:ascii="Arial" w:hAnsi="Arial" w:cs="Arial"/>
          <w:color w:val="000000" w:themeColor="text1"/>
        </w:rPr>
        <w:t xml:space="preserve"> two. There was no significant overall difference in number of </w:t>
      </w:r>
      <w:r w:rsidR="003709BE" w:rsidRPr="00C548DE">
        <w:rPr>
          <w:rFonts w:ascii="Arial" w:hAnsi="Arial" w:cs="Arial"/>
          <w:color w:val="000000" w:themeColor="text1"/>
        </w:rPr>
        <w:t>AEs</w:t>
      </w:r>
      <w:r w:rsidRPr="00C548DE">
        <w:rPr>
          <w:rFonts w:ascii="Arial" w:hAnsi="Arial" w:cs="Arial"/>
          <w:color w:val="000000" w:themeColor="text1"/>
        </w:rPr>
        <w:t xml:space="preserve"> between groups </w:t>
      </w:r>
      <w:r w:rsidR="003709BE" w:rsidRPr="00C548DE">
        <w:rPr>
          <w:rFonts w:ascii="Arial" w:hAnsi="Arial" w:cs="Arial"/>
          <w:color w:val="000000" w:themeColor="text1"/>
        </w:rPr>
        <w:t>(</w:t>
      </w:r>
      <w:proofErr w:type="gramStart"/>
      <w:r w:rsidRPr="00C548DE">
        <w:rPr>
          <w:rFonts w:ascii="Arial" w:hAnsi="Arial" w:cs="Arial"/>
          <w:color w:val="000000" w:themeColor="text1"/>
        </w:rPr>
        <w:t>F(</w:t>
      </w:r>
      <w:proofErr w:type="gramEnd"/>
      <w:r w:rsidRPr="00C548DE">
        <w:rPr>
          <w:rFonts w:ascii="Arial" w:hAnsi="Arial" w:cs="Arial"/>
          <w:color w:val="000000" w:themeColor="text1"/>
        </w:rPr>
        <w:t>1,527)=0.03</w:t>
      </w:r>
      <w:r w:rsidR="003709BE" w:rsidRPr="00C548DE">
        <w:rPr>
          <w:rFonts w:ascii="Arial" w:hAnsi="Arial" w:cs="Arial"/>
          <w:color w:val="000000" w:themeColor="text1"/>
        </w:rPr>
        <w:t>;</w:t>
      </w:r>
      <w:r w:rsidRPr="00C548DE">
        <w:rPr>
          <w:rFonts w:ascii="Arial" w:hAnsi="Arial" w:cs="Arial"/>
          <w:color w:val="000000" w:themeColor="text1"/>
        </w:rPr>
        <w:t>p=0.86</w:t>
      </w:r>
      <w:r w:rsidR="00427A78">
        <w:rPr>
          <w:rFonts w:ascii="Arial" w:hAnsi="Arial" w:cs="Arial"/>
          <w:color w:val="000000" w:themeColor="text1"/>
        </w:rPr>
        <w:t xml:space="preserve"> </w:t>
      </w:r>
      <w:r w:rsidRPr="00C548DE">
        <w:rPr>
          <w:rFonts w:ascii="Arial" w:hAnsi="Arial" w:cs="Arial"/>
          <w:color w:val="000000" w:themeColor="text1"/>
        </w:rPr>
        <w:t>(</w:t>
      </w:r>
      <w:r w:rsidR="003709BE" w:rsidRPr="00C548DE">
        <w:rPr>
          <w:rFonts w:ascii="Arial" w:hAnsi="Arial" w:cs="Arial"/>
          <w:color w:val="000000" w:themeColor="text1"/>
        </w:rPr>
        <w:t>OCS</w:t>
      </w:r>
      <w:r w:rsidRPr="00C548DE">
        <w:rPr>
          <w:rFonts w:ascii="Arial" w:hAnsi="Arial" w:cs="Arial"/>
          <w:color w:val="000000" w:themeColor="text1"/>
        </w:rPr>
        <w:t xml:space="preserve"> mean 2.30[1.73–2.87]</w:t>
      </w:r>
      <w:r w:rsidR="003709BE" w:rsidRPr="00C548DE">
        <w:rPr>
          <w:rFonts w:ascii="Arial" w:hAnsi="Arial" w:cs="Arial"/>
          <w:color w:val="000000" w:themeColor="text1"/>
        </w:rPr>
        <w:t>; c</w:t>
      </w:r>
      <w:r w:rsidRPr="00C548DE">
        <w:rPr>
          <w:rFonts w:ascii="Arial" w:hAnsi="Arial" w:cs="Arial"/>
          <w:color w:val="000000" w:themeColor="text1"/>
        </w:rPr>
        <w:t>ontrol mean 2.25[2.10–2.39]</w:t>
      </w:r>
      <w:r w:rsidR="003709BE" w:rsidRPr="00C548DE">
        <w:rPr>
          <w:rFonts w:ascii="Arial" w:hAnsi="Arial" w:cs="Arial"/>
          <w:color w:val="000000" w:themeColor="text1"/>
        </w:rPr>
        <w:t xml:space="preserve">), </w:t>
      </w:r>
      <w:r w:rsidRPr="00C548DE">
        <w:rPr>
          <w:rFonts w:ascii="Arial" w:hAnsi="Arial" w:cs="Arial"/>
          <w:color w:val="000000" w:themeColor="text1"/>
        </w:rPr>
        <w:t xml:space="preserve">and no significant interaction </w:t>
      </w:r>
      <w:r w:rsidR="003709BE" w:rsidRPr="00C548DE">
        <w:rPr>
          <w:rFonts w:ascii="Arial" w:hAnsi="Arial" w:cs="Arial"/>
          <w:color w:val="000000" w:themeColor="text1"/>
        </w:rPr>
        <w:t>(</w:t>
      </w:r>
      <w:r w:rsidRPr="00C548DE">
        <w:rPr>
          <w:rFonts w:ascii="Arial" w:hAnsi="Arial" w:cs="Arial"/>
          <w:color w:val="000000" w:themeColor="text1"/>
        </w:rPr>
        <w:t>F(1.82, 957.8)=0.15</w:t>
      </w:r>
      <w:r w:rsidR="003709BE" w:rsidRPr="00C548DE">
        <w:rPr>
          <w:rFonts w:ascii="Arial" w:hAnsi="Arial" w:cs="Arial"/>
          <w:color w:val="000000" w:themeColor="text1"/>
        </w:rPr>
        <w:t>;</w:t>
      </w:r>
      <w:r w:rsidRPr="00C548DE">
        <w:rPr>
          <w:rFonts w:ascii="Arial" w:hAnsi="Arial" w:cs="Arial"/>
          <w:color w:val="000000" w:themeColor="text1"/>
        </w:rPr>
        <w:t>p</w:t>
      </w:r>
      <w:r w:rsidR="00A748C9">
        <w:rPr>
          <w:rFonts w:ascii="Arial" w:hAnsi="Arial" w:cs="Arial"/>
          <w:color w:val="000000" w:themeColor="text1"/>
        </w:rPr>
        <w:t>=</w:t>
      </w:r>
      <w:r w:rsidRPr="00C548DE">
        <w:rPr>
          <w:rFonts w:ascii="Arial" w:hAnsi="Arial" w:cs="Arial"/>
          <w:color w:val="000000" w:themeColor="text1"/>
        </w:rPr>
        <w:t>0.84</w:t>
      </w:r>
      <w:r w:rsidR="003709BE" w:rsidRPr="00C548DE">
        <w:rPr>
          <w:rFonts w:ascii="Arial" w:hAnsi="Arial" w:cs="Arial"/>
          <w:color w:val="000000" w:themeColor="text1"/>
        </w:rPr>
        <w:t xml:space="preserve">). This suggests </w:t>
      </w:r>
      <w:r w:rsidR="002E3354" w:rsidRPr="00C548DE">
        <w:rPr>
          <w:rFonts w:ascii="Arial" w:hAnsi="Arial" w:cs="Arial"/>
          <w:color w:val="000000" w:themeColor="text1"/>
        </w:rPr>
        <w:t xml:space="preserve">that </w:t>
      </w:r>
      <w:r w:rsidR="003709BE" w:rsidRPr="00C548DE">
        <w:rPr>
          <w:rFonts w:ascii="Arial" w:hAnsi="Arial" w:cs="Arial"/>
          <w:color w:val="000000" w:themeColor="text1"/>
        </w:rPr>
        <w:t>OCS</w:t>
      </w:r>
      <w:r w:rsidRPr="00C548DE">
        <w:rPr>
          <w:rFonts w:ascii="Arial" w:hAnsi="Arial" w:cs="Arial"/>
          <w:color w:val="000000" w:themeColor="text1"/>
        </w:rPr>
        <w:t xml:space="preserve"> had no effect on number of </w:t>
      </w:r>
      <w:r w:rsidR="003709BE" w:rsidRPr="00C548DE">
        <w:rPr>
          <w:rFonts w:ascii="Arial" w:hAnsi="Arial" w:cs="Arial"/>
          <w:color w:val="000000" w:themeColor="text1"/>
        </w:rPr>
        <w:t xml:space="preserve">AEs reported at each </w:t>
      </w:r>
      <w:r w:rsidR="003709BE" w:rsidRPr="00C548DE">
        <w:rPr>
          <w:rFonts w:ascii="Arial" w:hAnsi="Arial" w:cs="Arial"/>
          <w:bCs/>
          <w:color w:val="000000" w:themeColor="text1"/>
        </w:rPr>
        <w:t>BNT162b2/Pfizer</w:t>
      </w:r>
      <w:r w:rsidR="003709BE" w:rsidRPr="00C548DE">
        <w:rPr>
          <w:rFonts w:ascii="Arial" w:hAnsi="Arial" w:cs="Arial"/>
          <w:color w:val="000000" w:themeColor="text1"/>
        </w:rPr>
        <w:t xml:space="preserve"> dose interval. </w:t>
      </w:r>
      <w:r w:rsidRPr="00C548DE">
        <w:rPr>
          <w:rFonts w:ascii="Arial" w:hAnsi="Arial" w:cs="Arial"/>
          <w:color w:val="000000" w:themeColor="text1"/>
        </w:rPr>
        <w:t xml:space="preserve"> </w:t>
      </w:r>
      <w:r w:rsidR="002E3354" w:rsidRPr="00C548DE">
        <w:rPr>
          <w:rFonts w:ascii="Arial" w:hAnsi="Arial" w:cs="Arial"/>
          <w:color w:val="000000" w:themeColor="text1"/>
        </w:rPr>
        <w:t>Furthermore, t</w:t>
      </w:r>
      <w:r w:rsidR="009418A3" w:rsidRPr="00C548DE">
        <w:rPr>
          <w:rFonts w:ascii="Arial" w:hAnsi="Arial" w:cs="Arial"/>
          <w:color w:val="000000" w:themeColor="text1"/>
        </w:rPr>
        <w:t xml:space="preserve">here was no </w:t>
      </w:r>
      <w:r w:rsidR="002E3354" w:rsidRPr="00C548DE">
        <w:rPr>
          <w:rFonts w:ascii="Arial" w:hAnsi="Arial" w:cs="Arial"/>
          <w:color w:val="000000" w:themeColor="text1"/>
        </w:rPr>
        <w:t>significant</w:t>
      </w:r>
      <w:r w:rsidR="009418A3" w:rsidRPr="00C548DE">
        <w:rPr>
          <w:rFonts w:ascii="Arial" w:hAnsi="Arial" w:cs="Arial"/>
          <w:color w:val="000000" w:themeColor="text1"/>
        </w:rPr>
        <w:t xml:space="preserve"> difference in number of AEs experienced </w:t>
      </w:r>
      <w:r w:rsidR="002E3354" w:rsidRPr="00C548DE">
        <w:rPr>
          <w:rFonts w:ascii="Arial" w:hAnsi="Arial" w:cs="Arial"/>
          <w:color w:val="000000" w:themeColor="text1"/>
        </w:rPr>
        <w:t>following the influenza jab,</w:t>
      </w:r>
      <w:r w:rsidR="009418A3" w:rsidRPr="00C548DE">
        <w:rPr>
          <w:rFonts w:ascii="Arial" w:hAnsi="Arial" w:cs="Arial"/>
          <w:color w:val="000000" w:themeColor="text1"/>
        </w:rPr>
        <w:t xml:space="preserve"> between those with </w:t>
      </w:r>
      <w:r w:rsidR="002E3354" w:rsidRPr="00C548DE">
        <w:rPr>
          <w:rFonts w:ascii="Arial" w:hAnsi="Arial" w:cs="Arial"/>
          <w:color w:val="000000" w:themeColor="text1"/>
        </w:rPr>
        <w:t>versus</w:t>
      </w:r>
      <w:r w:rsidR="009418A3" w:rsidRPr="00C548DE">
        <w:rPr>
          <w:rFonts w:ascii="Arial" w:hAnsi="Arial" w:cs="Arial"/>
          <w:color w:val="000000" w:themeColor="text1"/>
        </w:rPr>
        <w:t xml:space="preserve"> without OCS (</w:t>
      </w:r>
      <w:r w:rsidR="002E3354" w:rsidRPr="00C548DE">
        <w:rPr>
          <w:rFonts w:ascii="Arial" w:hAnsi="Arial" w:cs="Arial"/>
          <w:color w:val="000000" w:themeColor="text1"/>
        </w:rPr>
        <w:t>without=</w:t>
      </w:r>
      <w:r w:rsidR="009418A3">
        <w:rPr>
          <w:rFonts w:ascii="Arial" w:hAnsi="Arial" w:cs="Arial"/>
        </w:rPr>
        <w:t>0.</w:t>
      </w:r>
      <w:proofErr w:type="gramStart"/>
      <w:r w:rsidR="009418A3">
        <w:rPr>
          <w:rFonts w:ascii="Arial" w:hAnsi="Arial" w:cs="Arial"/>
        </w:rPr>
        <w:t>70</w:t>
      </w:r>
      <w:r w:rsidR="00427A78">
        <w:rPr>
          <w:rFonts w:ascii="Arial" w:hAnsi="Arial" w:cs="Arial"/>
        </w:rPr>
        <w:t>;</w:t>
      </w:r>
      <w:r w:rsidR="009418A3">
        <w:rPr>
          <w:rFonts w:ascii="Arial" w:hAnsi="Arial" w:cs="Arial"/>
        </w:rPr>
        <w:t>SD</w:t>
      </w:r>
      <w:proofErr w:type="gramEnd"/>
      <w:r w:rsidR="00427A78">
        <w:rPr>
          <w:rFonts w:ascii="Arial" w:hAnsi="Arial" w:cs="Arial"/>
        </w:rPr>
        <w:t>-</w:t>
      </w:r>
      <w:r w:rsidR="009418A3">
        <w:rPr>
          <w:rFonts w:ascii="Arial" w:hAnsi="Arial" w:cs="Arial"/>
        </w:rPr>
        <w:t>1.5</w:t>
      </w:r>
      <w:r w:rsidR="002E3354">
        <w:rPr>
          <w:rFonts w:ascii="Arial" w:hAnsi="Arial" w:cs="Arial"/>
        </w:rPr>
        <w:t xml:space="preserve">; </w:t>
      </w:r>
      <w:r w:rsidR="009418A3">
        <w:rPr>
          <w:rFonts w:ascii="Arial" w:hAnsi="Arial" w:cs="Arial"/>
        </w:rPr>
        <w:t>with</w:t>
      </w:r>
      <w:r w:rsidR="002E3354">
        <w:rPr>
          <w:rFonts w:ascii="Arial" w:hAnsi="Arial" w:cs="Arial"/>
        </w:rPr>
        <w:t>=</w:t>
      </w:r>
      <w:r w:rsidR="009418A3">
        <w:rPr>
          <w:rFonts w:ascii="Arial" w:hAnsi="Arial" w:cs="Arial"/>
        </w:rPr>
        <w:t>0.56</w:t>
      </w:r>
      <w:r w:rsidR="002E3354">
        <w:rPr>
          <w:rFonts w:ascii="Arial" w:hAnsi="Arial" w:cs="Arial"/>
        </w:rPr>
        <w:t>,</w:t>
      </w:r>
      <w:r w:rsidR="009418A3">
        <w:rPr>
          <w:rFonts w:ascii="Arial" w:hAnsi="Arial" w:cs="Arial"/>
        </w:rPr>
        <w:t>SD</w:t>
      </w:r>
      <w:r w:rsidR="00427A78">
        <w:rPr>
          <w:rFonts w:ascii="Arial" w:hAnsi="Arial" w:cs="Arial"/>
        </w:rPr>
        <w:t>-</w:t>
      </w:r>
      <w:r w:rsidR="009418A3">
        <w:rPr>
          <w:rFonts w:ascii="Arial" w:hAnsi="Arial" w:cs="Arial"/>
        </w:rPr>
        <w:t>1.4</w:t>
      </w:r>
      <w:r w:rsidR="002E3354">
        <w:rPr>
          <w:rFonts w:ascii="Arial" w:hAnsi="Arial" w:cs="Arial"/>
        </w:rPr>
        <w:t xml:space="preserve">; </w:t>
      </w:r>
      <w:r w:rsidR="009418A3">
        <w:rPr>
          <w:rFonts w:ascii="Arial" w:hAnsi="Arial" w:cs="Arial"/>
        </w:rPr>
        <w:t>AEs</w:t>
      </w:r>
      <w:r w:rsidR="002E3354">
        <w:rPr>
          <w:rFonts w:ascii="Arial" w:hAnsi="Arial" w:cs="Arial"/>
        </w:rPr>
        <w:t xml:space="preserve"> </w:t>
      </w:r>
      <w:r w:rsidR="009418A3">
        <w:rPr>
          <w:rFonts w:ascii="Arial" w:hAnsi="Arial" w:cs="Arial"/>
        </w:rPr>
        <w:t>d=0.09[-</w:t>
      </w:r>
      <w:r w:rsidR="002B4692">
        <w:rPr>
          <w:rFonts w:ascii="Arial" w:hAnsi="Arial" w:cs="Arial"/>
        </w:rPr>
        <w:t>0</w:t>
      </w:r>
      <w:r w:rsidR="009418A3">
        <w:rPr>
          <w:rFonts w:ascii="Arial" w:hAnsi="Arial" w:cs="Arial"/>
        </w:rPr>
        <w:t>.30–0.56]</w:t>
      </w:r>
      <w:r w:rsidR="002B4692">
        <w:rPr>
          <w:rFonts w:ascii="Arial" w:hAnsi="Arial" w:cs="Arial"/>
        </w:rPr>
        <w:t>;</w:t>
      </w:r>
      <w:r w:rsidR="009418A3">
        <w:rPr>
          <w:rFonts w:ascii="Arial" w:hAnsi="Arial" w:cs="Arial"/>
        </w:rPr>
        <w:t>p=0.54</w:t>
      </w:r>
      <w:r w:rsidR="002E3354">
        <w:rPr>
          <w:rFonts w:ascii="Arial" w:hAnsi="Arial" w:cs="Arial"/>
        </w:rPr>
        <w:t xml:space="preserve">). </w:t>
      </w:r>
    </w:p>
    <w:p w14:paraId="4FB67B44" w14:textId="77777777" w:rsidR="00F71A96" w:rsidRDefault="00F71A96" w:rsidP="00AE61BC">
      <w:pPr>
        <w:spacing w:line="480" w:lineRule="auto"/>
        <w:jc w:val="both"/>
        <w:rPr>
          <w:rFonts w:ascii="Arial" w:hAnsi="Arial" w:cs="Arial"/>
        </w:rPr>
      </w:pPr>
    </w:p>
    <w:p w14:paraId="509992D6" w14:textId="596804BB" w:rsidR="001212E8" w:rsidRPr="006C2748" w:rsidRDefault="004A515C" w:rsidP="001212E8">
      <w:pPr>
        <w:spacing w:after="0" w:line="480" w:lineRule="auto"/>
        <w:jc w:val="both"/>
        <w:rPr>
          <w:color w:val="000000" w:themeColor="text1"/>
        </w:rPr>
      </w:pPr>
      <w:r w:rsidRPr="006C2748">
        <w:rPr>
          <w:rFonts w:ascii="Arial" w:hAnsi="Arial" w:cs="Arial"/>
          <w:b/>
          <w:color w:val="000000" w:themeColor="text1"/>
        </w:rPr>
        <w:t>4. Discussion</w:t>
      </w:r>
      <w:r w:rsidR="003E5746" w:rsidRPr="006C2748">
        <w:rPr>
          <w:rFonts w:ascii="Arial" w:hAnsi="Arial" w:cs="Arial"/>
          <w:b/>
          <w:color w:val="000000" w:themeColor="text1"/>
        </w:rPr>
        <w:t xml:space="preserve"> </w:t>
      </w:r>
    </w:p>
    <w:p w14:paraId="65CB18A3" w14:textId="5DBC3DDA" w:rsidR="00787A28" w:rsidRDefault="00787A28" w:rsidP="00BD26BB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Our previous work</w:t>
      </w:r>
      <w:r w:rsidRPr="00787A28">
        <w:rPr>
          <w:rFonts w:ascii="Arial" w:hAnsi="Arial" w:cs="Arial"/>
          <w:bCs/>
          <w:color w:val="000000" w:themeColor="text1"/>
        </w:rPr>
        <w:t xml:space="preserve"> highlighted risk factors for increased </w:t>
      </w:r>
      <w:r w:rsidR="00322513" w:rsidRPr="00787A28">
        <w:rPr>
          <w:rFonts w:ascii="Arial" w:hAnsi="Arial" w:cs="Arial"/>
          <w:bCs/>
          <w:color w:val="000000" w:themeColor="text1"/>
        </w:rPr>
        <w:t>BNT162b2</w:t>
      </w:r>
      <w:r w:rsidR="00322513" w:rsidRPr="008C1B51">
        <w:rPr>
          <w:rFonts w:ascii="Arial" w:hAnsi="Arial" w:cs="Arial"/>
          <w:bCs/>
          <w:color w:val="000000" w:themeColor="text1"/>
        </w:rPr>
        <w:t xml:space="preserve">/Pfizer </w:t>
      </w:r>
      <w:r w:rsidRPr="00787A28">
        <w:rPr>
          <w:rFonts w:ascii="Arial" w:hAnsi="Arial" w:cs="Arial"/>
          <w:bCs/>
          <w:color w:val="000000" w:themeColor="text1"/>
        </w:rPr>
        <w:t>vaccine-associated AEs</w:t>
      </w:r>
      <w:r w:rsidR="00322513">
        <w:rPr>
          <w:rFonts w:ascii="Arial" w:hAnsi="Arial" w:cs="Arial"/>
          <w:bCs/>
          <w:color w:val="000000" w:themeColor="text1"/>
        </w:rPr>
        <w:t>,</w:t>
      </w:r>
      <w:r w:rsidR="00B54A74">
        <w:rPr>
          <w:rFonts w:ascii="Arial" w:hAnsi="Arial" w:cs="Arial"/>
          <w:bCs/>
          <w:color w:val="000000" w:themeColor="text1"/>
        </w:rPr>
        <w:t xml:space="preserve"> specifically f</w:t>
      </w:r>
      <w:r>
        <w:rPr>
          <w:rFonts w:ascii="Arial" w:hAnsi="Arial" w:cs="Arial"/>
          <w:bCs/>
          <w:color w:val="000000" w:themeColor="text1"/>
        </w:rPr>
        <w:t>emale</w:t>
      </w:r>
      <w:r w:rsidR="00322513">
        <w:rPr>
          <w:rFonts w:ascii="Arial" w:hAnsi="Arial" w:cs="Arial"/>
          <w:bCs/>
          <w:color w:val="000000" w:themeColor="text1"/>
        </w:rPr>
        <w:t>s</w:t>
      </w:r>
      <w:r>
        <w:rPr>
          <w:rFonts w:ascii="Arial" w:hAnsi="Arial" w:cs="Arial"/>
          <w:bCs/>
          <w:color w:val="000000" w:themeColor="text1"/>
        </w:rPr>
        <w:t xml:space="preserve">, younger age, prior COVID-19, and OCS </w:t>
      </w:r>
      <w:r w:rsidR="00572A18">
        <w:rPr>
          <w:rFonts w:ascii="Arial" w:hAnsi="Arial" w:cs="Arial"/>
          <w:bCs/>
          <w:color w:val="000000" w:themeColor="text1"/>
        </w:rPr>
        <w:t xml:space="preserve">were </w:t>
      </w:r>
      <w:r w:rsidR="00322513">
        <w:rPr>
          <w:rFonts w:ascii="Arial" w:hAnsi="Arial" w:cs="Arial"/>
          <w:bCs/>
          <w:color w:val="000000" w:themeColor="text1"/>
        </w:rPr>
        <w:t>associated with</w:t>
      </w:r>
      <w:r w:rsidR="00B54A74">
        <w:rPr>
          <w:rFonts w:ascii="Arial" w:hAnsi="Arial" w:cs="Arial"/>
          <w:bCs/>
          <w:color w:val="000000" w:themeColor="text1"/>
        </w:rPr>
        <w:t xml:space="preserve"> increased</w:t>
      </w:r>
      <w:r>
        <w:rPr>
          <w:rFonts w:ascii="Arial" w:hAnsi="Arial" w:cs="Arial"/>
          <w:bCs/>
          <w:color w:val="000000" w:themeColor="text1"/>
        </w:rPr>
        <w:t xml:space="preserve"> AEs reported following doses one and/or </w:t>
      </w:r>
      <w:proofErr w:type="gramStart"/>
      <w:r>
        <w:rPr>
          <w:rFonts w:ascii="Arial" w:hAnsi="Arial" w:cs="Arial"/>
          <w:bCs/>
          <w:color w:val="000000" w:themeColor="text1"/>
        </w:rPr>
        <w:t>two</w:t>
      </w:r>
      <w:r w:rsidRPr="00373032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40130E">
        <w:rPr>
          <w:rFonts w:ascii="Arial" w:hAnsi="Arial" w:cs="Arial"/>
          <w:bCs/>
          <w:color w:val="000000" w:themeColor="text1"/>
          <w:vertAlign w:val="superscript"/>
        </w:rPr>
        <w:t>9,10</w:t>
      </w:r>
      <w:r w:rsidRPr="00373032">
        <w:rPr>
          <w:rFonts w:ascii="Arial" w:hAnsi="Arial" w:cs="Arial"/>
          <w:bCs/>
          <w:color w:val="000000" w:themeColor="text1"/>
          <w:vertAlign w:val="superscript"/>
        </w:rPr>
        <w:t>]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6563DF">
        <w:rPr>
          <w:rFonts w:ascii="Arial" w:hAnsi="Arial" w:cs="Arial"/>
          <w:bCs/>
          <w:color w:val="000000" w:themeColor="text1"/>
        </w:rPr>
        <w:t xml:space="preserve">The main findings </w:t>
      </w:r>
      <w:r w:rsidR="00572A18">
        <w:rPr>
          <w:rFonts w:ascii="Arial" w:hAnsi="Arial" w:cs="Arial"/>
          <w:bCs/>
          <w:color w:val="000000" w:themeColor="text1"/>
        </w:rPr>
        <w:t xml:space="preserve">of our present study </w:t>
      </w:r>
      <w:r w:rsidR="006563DF">
        <w:rPr>
          <w:rFonts w:ascii="Arial" w:hAnsi="Arial" w:cs="Arial"/>
          <w:bCs/>
          <w:color w:val="000000" w:themeColor="text1"/>
        </w:rPr>
        <w:t>were f</w:t>
      </w:r>
      <w:r w:rsidRPr="00282EFC">
        <w:rPr>
          <w:rFonts w:ascii="Arial" w:hAnsi="Arial" w:cs="Arial"/>
          <w:bCs/>
          <w:color w:val="000000" w:themeColor="text1"/>
        </w:rPr>
        <w:t>irstly, that frequency of AEs to BNT162b2/Pfizer vaccination progressively reduced across</w:t>
      </w:r>
      <w:r w:rsidR="00572A18">
        <w:rPr>
          <w:rFonts w:ascii="Arial" w:hAnsi="Arial" w:cs="Arial"/>
          <w:bCs/>
          <w:color w:val="000000" w:themeColor="text1"/>
        </w:rPr>
        <w:t xml:space="preserve"> all</w:t>
      </w:r>
      <w:r w:rsidRPr="00282EFC">
        <w:rPr>
          <w:rFonts w:ascii="Arial" w:hAnsi="Arial" w:cs="Arial"/>
          <w:bCs/>
          <w:color w:val="000000" w:themeColor="text1"/>
        </w:rPr>
        <w:t xml:space="preserve"> doses</w:t>
      </w:r>
      <w:r w:rsidR="00426B94" w:rsidRPr="00282EFC">
        <w:rPr>
          <w:rFonts w:ascii="Arial" w:hAnsi="Arial" w:cs="Arial"/>
          <w:bCs/>
          <w:color w:val="000000" w:themeColor="text1"/>
        </w:rPr>
        <w:t xml:space="preserve">. Nevertheless, moderate-to-severe AEs were markedly more common in our cohort compared to </w:t>
      </w:r>
      <w:r w:rsidR="00150E0D" w:rsidRPr="00282EFC">
        <w:rPr>
          <w:rFonts w:ascii="Arial" w:hAnsi="Arial" w:cs="Arial"/>
          <w:bCs/>
          <w:color w:val="000000" w:themeColor="text1"/>
        </w:rPr>
        <w:t>the COV-BOOST trial</w:t>
      </w:r>
      <w:r w:rsidR="00426B94" w:rsidRPr="00282EFC">
        <w:rPr>
          <w:rFonts w:ascii="Arial" w:hAnsi="Arial" w:cs="Arial"/>
          <w:bCs/>
          <w:color w:val="000000" w:themeColor="text1"/>
        </w:rPr>
        <w:t xml:space="preserve"> that used the same AE grading system following third/booster dose</w:t>
      </w:r>
      <w:r w:rsidR="00546414" w:rsidRPr="00282EFC">
        <w:rPr>
          <w:rFonts w:ascii="Arial" w:hAnsi="Arial" w:cs="Arial"/>
          <w:bCs/>
          <w:color w:val="000000" w:themeColor="text1"/>
        </w:rPr>
        <w:t>s</w:t>
      </w:r>
      <w:r w:rsidR="00426B94" w:rsidRPr="00282EFC">
        <w:rPr>
          <w:rFonts w:ascii="Arial" w:hAnsi="Arial" w:cs="Arial"/>
          <w:bCs/>
          <w:color w:val="000000" w:themeColor="text1"/>
        </w:rPr>
        <w:t xml:space="preserve"> of BNT162b2/Pfizer (AEs&lt;5</w:t>
      </w:r>
      <w:proofErr w:type="gramStart"/>
      <w:r w:rsidR="00426B94" w:rsidRPr="00282EFC">
        <w:rPr>
          <w:rFonts w:ascii="Arial" w:hAnsi="Arial" w:cs="Arial"/>
          <w:bCs/>
          <w:color w:val="000000" w:themeColor="text1"/>
        </w:rPr>
        <w:t>%;n</w:t>
      </w:r>
      <w:proofErr w:type="gramEnd"/>
      <w:r w:rsidR="00426B94" w:rsidRPr="00282EFC">
        <w:rPr>
          <w:rFonts w:ascii="Arial" w:hAnsi="Arial" w:cs="Arial"/>
          <w:bCs/>
          <w:color w:val="000000" w:themeColor="text1"/>
        </w:rPr>
        <w:t>=96)</w:t>
      </w:r>
      <w:r w:rsidR="00426B94" w:rsidRPr="00282EFC">
        <w:rPr>
          <w:rFonts w:ascii="Arial" w:hAnsi="Arial" w:cs="Arial"/>
          <w:bCs/>
          <w:color w:val="000000" w:themeColor="text1"/>
          <w:vertAlign w:val="superscript"/>
        </w:rPr>
        <w:t>[1</w:t>
      </w:r>
      <w:r w:rsidR="00B853A3">
        <w:rPr>
          <w:rFonts w:ascii="Arial" w:hAnsi="Arial" w:cs="Arial"/>
          <w:bCs/>
          <w:color w:val="000000" w:themeColor="text1"/>
          <w:vertAlign w:val="superscript"/>
        </w:rPr>
        <w:t>7</w:t>
      </w:r>
      <w:r w:rsidR="00426B94" w:rsidRPr="00282EFC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426B94" w:rsidRPr="00282EFC">
        <w:rPr>
          <w:rFonts w:ascii="Arial" w:hAnsi="Arial" w:cs="Arial"/>
          <w:bCs/>
          <w:color w:val="000000" w:themeColor="text1"/>
        </w:rPr>
        <w:t>.</w:t>
      </w:r>
      <w:r w:rsidR="00426B94" w:rsidRPr="00426B94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="00426B94">
        <w:rPr>
          <w:rFonts w:ascii="Arial" w:hAnsi="Arial" w:cs="Arial"/>
          <w:bCs/>
          <w:color w:val="000000" w:themeColor="text1"/>
        </w:rPr>
        <w:t>Our finding of progressive reduction</w:t>
      </w:r>
      <w:r w:rsidR="006563DF">
        <w:rPr>
          <w:rFonts w:ascii="Arial" w:hAnsi="Arial" w:cs="Arial"/>
          <w:bCs/>
          <w:color w:val="000000" w:themeColor="text1"/>
        </w:rPr>
        <w:t>s</w:t>
      </w:r>
      <w:r w:rsidR="00426B94">
        <w:rPr>
          <w:rFonts w:ascii="Arial" w:hAnsi="Arial" w:cs="Arial"/>
          <w:bCs/>
          <w:color w:val="000000" w:themeColor="text1"/>
        </w:rPr>
        <w:t xml:space="preserve"> in AEs across successive doses contrasts with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6563DF">
        <w:rPr>
          <w:rFonts w:ascii="Arial" w:hAnsi="Arial" w:cs="Arial"/>
          <w:bCs/>
          <w:color w:val="000000" w:themeColor="text1"/>
        </w:rPr>
        <w:t xml:space="preserve">both </w:t>
      </w:r>
      <w:r>
        <w:rPr>
          <w:rFonts w:ascii="Arial" w:hAnsi="Arial" w:cs="Arial"/>
          <w:bCs/>
          <w:color w:val="000000" w:themeColor="text1"/>
        </w:rPr>
        <w:t xml:space="preserve">our prior </w:t>
      </w:r>
      <w:r w:rsidR="00426B94">
        <w:rPr>
          <w:rFonts w:ascii="Arial" w:hAnsi="Arial" w:cs="Arial"/>
          <w:bCs/>
          <w:color w:val="000000" w:themeColor="text1"/>
        </w:rPr>
        <w:t>work</w:t>
      </w:r>
      <w:r w:rsidR="006563DF">
        <w:rPr>
          <w:rFonts w:ascii="Arial" w:hAnsi="Arial" w:cs="Arial"/>
          <w:bCs/>
          <w:color w:val="000000" w:themeColor="text1"/>
        </w:rPr>
        <w:t xml:space="preserve"> (showing </w:t>
      </w:r>
      <w:r>
        <w:rPr>
          <w:rFonts w:ascii="Arial" w:hAnsi="Arial" w:cs="Arial"/>
          <w:bCs/>
          <w:color w:val="000000" w:themeColor="text1"/>
        </w:rPr>
        <w:t>AEs increased between</w:t>
      </w:r>
      <w:r w:rsidRPr="00787A28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doses one and </w:t>
      </w:r>
      <w:proofErr w:type="gramStart"/>
      <w:r>
        <w:rPr>
          <w:rFonts w:ascii="Arial" w:hAnsi="Arial" w:cs="Arial"/>
          <w:bCs/>
          <w:color w:val="000000" w:themeColor="text1"/>
        </w:rPr>
        <w:t>two</w:t>
      </w:r>
      <w:r w:rsidR="0040130E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40130E">
        <w:rPr>
          <w:rFonts w:ascii="Arial" w:hAnsi="Arial" w:cs="Arial"/>
          <w:bCs/>
          <w:color w:val="000000" w:themeColor="text1"/>
          <w:vertAlign w:val="superscript"/>
        </w:rPr>
        <w:t>10</w:t>
      </w:r>
      <w:r w:rsidRPr="00787A28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6563DF">
        <w:rPr>
          <w:rFonts w:ascii="Arial" w:hAnsi="Arial" w:cs="Arial"/>
          <w:bCs/>
          <w:color w:val="000000" w:themeColor="text1"/>
        </w:rPr>
        <w:t>)</w:t>
      </w:r>
      <w:r w:rsidR="00150E0D">
        <w:rPr>
          <w:rFonts w:ascii="Arial" w:hAnsi="Arial" w:cs="Arial"/>
          <w:bCs/>
          <w:color w:val="000000" w:themeColor="text1"/>
        </w:rPr>
        <w:t xml:space="preserve"> and </w:t>
      </w:r>
      <w:r w:rsidR="003B2210">
        <w:rPr>
          <w:rFonts w:ascii="Arial" w:hAnsi="Arial" w:cs="Arial"/>
          <w:bCs/>
          <w:color w:val="000000" w:themeColor="text1"/>
        </w:rPr>
        <w:t>a recent Israeli stud show</w:t>
      </w:r>
      <w:r w:rsidR="006563DF">
        <w:rPr>
          <w:rFonts w:ascii="Arial" w:hAnsi="Arial" w:cs="Arial"/>
          <w:bCs/>
          <w:color w:val="000000" w:themeColor="text1"/>
        </w:rPr>
        <w:t>ing</w:t>
      </w:r>
      <w:r w:rsidR="003B2210">
        <w:rPr>
          <w:rFonts w:ascii="Arial" w:hAnsi="Arial" w:cs="Arial"/>
          <w:bCs/>
          <w:color w:val="000000" w:themeColor="text1"/>
        </w:rPr>
        <w:t xml:space="preserve"> the opposite effect</w:t>
      </w:r>
      <w:r w:rsidR="003B2210" w:rsidRPr="00282EFC">
        <w:rPr>
          <w:rFonts w:ascii="Arial" w:hAnsi="Arial" w:cs="Arial"/>
          <w:bCs/>
          <w:color w:val="000000" w:themeColor="text1"/>
          <w:vertAlign w:val="superscript"/>
        </w:rPr>
        <w:t>[</w:t>
      </w:r>
      <w:r w:rsidR="004E13E0">
        <w:rPr>
          <w:rFonts w:ascii="Arial" w:hAnsi="Arial" w:cs="Arial"/>
          <w:bCs/>
          <w:color w:val="000000" w:themeColor="text1"/>
          <w:vertAlign w:val="superscript"/>
        </w:rPr>
        <w:t>1</w:t>
      </w:r>
      <w:r w:rsidR="00B853A3">
        <w:rPr>
          <w:rFonts w:ascii="Arial" w:hAnsi="Arial" w:cs="Arial"/>
          <w:bCs/>
          <w:color w:val="000000" w:themeColor="text1"/>
          <w:vertAlign w:val="superscript"/>
        </w:rPr>
        <w:t>8</w:t>
      </w:r>
      <w:r w:rsidR="003B2210" w:rsidRPr="00282EFC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3B2210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Th</w:t>
      </w:r>
      <w:r w:rsidR="006563DF">
        <w:rPr>
          <w:rFonts w:ascii="Arial" w:hAnsi="Arial" w:cs="Arial"/>
          <w:bCs/>
          <w:color w:val="000000" w:themeColor="text1"/>
        </w:rPr>
        <w:t xml:space="preserve">is might have occurred because </w:t>
      </w:r>
      <w:r w:rsidR="00530744">
        <w:rPr>
          <w:rFonts w:ascii="Arial" w:hAnsi="Arial" w:cs="Arial"/>
          <w:bCs/>
          <w:color w:val="000000" w:themeColor="text1"/>
        </w:rPr>
        <w:t xml:space="preserve">either </w:t>
      </w:r>
      <w:r>
        <w:rPr>
          <w:rFonts w:ascii="Arial" w:hAnsi="Arial" w:cs="Arial"/>
          <w:bCs/>
          <w:color w:val="000000" w:themeColor="text1"/>
        </w:rPr>
        <w:t xml:space="preserve">the present work </w:t>
      </w:r>
      <w:r w:rsidR="006563DF">
        <w:rPr>
          <w:rFonts w:ascii="Arial" w:hAnsi="Arial" w:cs="Arial"/>
          <w:bCs/>
          <w:color w:val="000000" w:themeColor="text1"/>
        </w:rPr>
        <w:t xml:space="preserve">involved </w:t>
      </w:r>
      <w:r>
        <w:rPr>
          <w:rFonts w:ascii="Arial" w:hAnsi="Arial" w:cs="Arial"/>
          <w:bCs/>
          <w:color w:val="000000" w:themeColor="text1"/>
        </w:rPr>
        <w:t xml:space="preserve">a </w:t>
      </w:r>
      <w:r w:rsidR="00B54A74">
        <w:rPr>
          <w:rFonts w:ascii="Arial" w:hAnsi="Arial" w:cs="Arial"/>
          <w:bCs/>
          <w:color w:val="000000" w:themeColor="text1"/>
        </w:rPr>
        <w:t xml:space="preserve">new </w:t>
      </w:r>
      <w:r>
        <w:rPr>
          <w:rFonts w:ascii="Arial" w:hAnsi="Arial" w:cs="Arial"/>
          <w:bCs/>
          <w:color w:val="000000" w:themeColor="text1"/>
        </w:rPr>
        <w:t>sample of HCWs</w:t>
      </w:r>
      <w:r w:rsidR="006563DF">
        <w:rPr>
          <w:rFonts w:ascii="Arial" w:hAnsi="Arial" w:cs="Arial"/>
          <w:bCs/>
          <w:color w:val="000000" w:themeColor="text1"/>
        </w:rPr>
        <w:t xml:space="preserve"> (</w:t>
      </w:r>
      <w:r>
        <w:rPr>
          <w:rFonts w:ascii="Arial" w:hAnsi="Arial" w:cs="Arial"/>
          <w:bCs/>
          <w:color w:val="000000" w:themeColor="text1"/>
        </w:rPr>
        <w:t>hence individual differences</w:t>
      </w:r>
      <w:r w:rsidR="00530744">
        <w:rPr>
          <w:rFonts w:ascii="Arial" w:hAnsi="Arial" w:cs="Arial"/>
          <w:bCs/>
          <w:color w:val="000000" w:themeColor="text1"/>
        </w:rPr>
        <w:t>) or</w:t>
      </w:r>
      <w:r>
        <w:rPr>
          <w:rFonts w:ascii="Arial" w:hAnsi="Arial" w:cs="Arial"/>
          <w:bCs/>
          <w:color w:val="000000" w:themeColor="text1"/>
        </w:rPr>
        <w:t xml:space="preserve"> HCWs becom</w:t>
      </w:r>
      <w:r w:rsidR="00530744">
        <w:rPr>
          <w:rFonts w:ascii="Arial" w:hAnsi="Arial" w:cs="Arial"/>
          <w:bCs/>
          <w:color w:val="000000" w:themeColor="text1"/>
        </w:rPr>
        <w:t>ing more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B54A74">
        <w:rPr>
          <w:rFonts w:ascii="Arial" w:hAnsi="Arial" w:cs="Arial"/>
          <w:bCs/>
          <w:color w:val="000000" w:themeColor="text1"/>
        </w:rPr>
        <w:t xml:space="preserve">accustomed </w:t>
      </w:r>
      <w:r>
        <w:rPr>
          <w:rFonts w:ascii="Arial" w:hAnsi="Arial" w:cs="Arial"/>
          <w:bCs/>
          <w:color w:val="000000" w:themeColor="text1"/>
        </w:rPr>
        <w:t>to vaccine-associated AEs over time</w:t>
      </w:r>
      <w:r w:rsidR="00530744">
        <w:rPr>
          <w:rFonts w:ascii="Arial" w:hAnsi="Arial" w:cs="Arial"/>
          <w:bCs/>
          <w:color w:val="000000" w:themeColor="text1"/>
        </w:rPr>
        <w:t>.</w:t>
      </w:r>
      <w:r w:rsidR="00FA56CB" w:rsidRPr="00C31A10">
        <w:rPr>
          <w:rFonts w:ascii="Arial" w:hAnsi="Arial" w:cs="Arial"/>
          <w:bCs/>
          <w:color w:val="000000" w:themeColor="text1"/>
        </w:rPr>
        <w:t xml:space="preserve"> </w:t>
      </w:r>
      <w:r w:rsidR="00A54FBF" w:rsidRPr="00C31A10">
        <w:rPr>
          <w:rFonts w:ascii="Arial" w:hAnsi="Arial" w:cs="Arial"/>
          <w:bCs/>
          <w:color w:val="000000" w:themeColor="text1"/>
        </w:rPr>
        <w:t xml:space="preserve">Similarly, </w:t>
      </w:r>
      <w:r w:rsidR="00B54A74" w:rsidRPr="00C31A10">
        <w:rPr>
          <w:rFonts w:ascii="Arial" w:hAnsi="Arial" w:cs="Arial"/>
          <w:bCs/>
          <w:color w:val="000000" w:themeColor="text1"/>
        </w:rPr>
        <w:t>another surprising</w:t>
      </w:r>
      <w:r w:rsidR="002263B2" w:rsidRPr="00C31A10">
        <w:rPr>
          <w:rFonts w:ascii="Arial" w:hAnsi="Arial" w:cs="Arial"/>
          <w:bCs/>
          <w:color w:val="000000" w:themeColor="text1"/>
        </w:rPr>
        <w:t xml:space="preserve"> result was that gender did not appear to </w:t>
      </w:r>
      <w:r w:rsidR="00A54FBF" w:rsidRPr="00C31A10">
        <w:rPr>
          <w:rFonts w:ascii="Arial" w:hAnsi="Arial" w:cs="Arial"/>
          <w:bCs/>
          <w:color w:val="000000" w:themeColor="text1"/>
        </w:rPr>
        <w:t>influence</w:t>
      </w:r>
      <w:r w:rsidR="002263B2" w:rsidRPr="00C31A10">
        <w:rPr>
          <w:rFonts w:ascii="Arial" w:hAnsi="Arial" w:cs="Arial"/>
          <w:bCs/>
          <w:color w:val="000000" w:themeColor="text1"/>
        </w:rPr>
        <w:t xml:space="preserve"> AEs, whereas our </w:t>
      </w:r>
      <w:r w:rsidR="00A54FBF" w:rsidRPr="00C31A10">
        <w:rPr>
          <w:rFonts w:ascii="Arial" w:hAnsi="Arial" w:cs="Arial"/>
          <w:bCs/>
          <w:color w:val="000000" w:themeColor="text1"/>
        </w:rPr>
        <w:t>past</w:t>
      </w:r>
      <w:r w:rsidR="002263B2" w:rsidRPr="00C31A10">
        <w:rPr>
          <w:rFonts w:ascii="Arial" w:hAnsi="Arial" w:cs="Arial"/>
          <w:bCs/>
          <w:color w:val="000000" w:themeColor="text1"/>
        </w:rPr>
        <w:t xml:space="preserve"> studies have consistently </w:t>
      </w:r>
      <w:r w:rsidR="00B54A74" w:rsidRPr="00C31A10">
        <w:rPr>
          <w:rFonts w:ascii="Arial" w:hAnsi="Arial" w:cs="Arial"/>
          <w:bCs/>
          <w:color w:val="000000" w:themeColor="text1"/>
        </w:rPr>
        <w:t>shown females to report more</w:t>
      </w:r>
      <w:r w:rsidR="00A54FBF" w:rsidRPr="00C31A10">
        <w:rPr>
          <w:rFonts w:ascii="Arial" w:hAnsi="Arial" w:cs="Arial"/>
          <w:bCs/>
          <w:color w:val="000000" w:themeColor="text1"/>
        </w:rPr>
        <w:t xml:space="preserve"> AEs</w:t>
      </w:r>
      <w:r w:rsidR="00B54A74" w:rsidRPr="00C31A10">
        <w:rPr>
          <w:rFonts w:ascii="Arial" w:hAnsi="Arial" w:cs="Arial"/>
          <w:bCs/>
          <w:color w:val="000000" w:themeColor="text1"/>
        </w:rPr>
        <w:t xml:space="preserve"> following doses one and two </w:t>
      </w:r>
      <w:proofErr w:type="gramStart"/>
      <w:r w:rsidR="00B54A74" w:rsidRPr="00C31A10">
        <w:rPr>
          <w:rFonts w:ascii="Arial" w:hAnsi="Arial" w:cs="Arial"/>
          <w:bCs/>
          <w:color w:val="000000" w:themeColor="text1"/>
        </w:rPr>
        <w:t xml:space="preserve">of </w:t>
      </w:r>
      <w:r w:rsidR="002263B2" w:rsidRPr="00C31A10">
        <w:rPr>
          <w:rFonts w:ascii="Arial" w:hAnsi="Arial" w:cs="Arial"/>
          <w:bCs/>
          <w:color w:val="000000" w:themeColor="text1"/>
        </w:rPr>
        <w:t xml:space="preserve"> </w:t>
      </w:r>
      <w:r w:rsidR="002263B2" w:rsidRPr="00C31A10">
        <w:rPr>
          <w:rFonts w:ascii="Arial" w:hAnsi="Arial" w:cs="Arial"/>
          <w:color w:val="000000" w:themeColor="text1"/>
        </w:rPr>
        <w:t>BNT</w:t>
      </w:r>
      <w:proofErr w:type="gramEnd"/>
      <w:r w:rsidR="002263B2" w:rsidRPr="00C31A10">
        <w:rPr>
          <w:rFonts w:ascii="Arial" w:hAnsi="Arial" w:cs="Arial"/>
          <w:color w:val="000000" w:themeColor="text1"/>
        </w:rPr>
        <w:t>162b2/Pfizer vaccination</w:t>
      </w:r>
      <w:r w:rsidR="00A54FBF" w:rsidRPr="00C31A10">
        <w:rPr>
          <w:rFonts w:ascii="Arial" w:hAnsi="Arial" w:cs="Arial"/>
          <w:color w:val="000000" w:themeColor="text1"/>
          <w:vertAlign w:val="superscript"/>
        </w:rPr>
        <w:t>[</w:t>
      </w:r>
      <w:r w:rsidR="0040130E" w:rsidRPr="00C31A10">
        <w:rPr>
          <w:rFonts w:ascii="Arial" w:hAnsi="Arial" w:cs="Arial"/>
          <w:color w:val="000000" w:themeColor="text1"/>
          <w:vertAlign w:val="superscript"/>
        </w:rPr>
        <w:t>9,10</w:t>
      </w:r>
      <w:r w:rsidR="00A54FBF" w:rsidRPr="00C31A10">
        <w:rPr>
          <w:rFonts w:ascii="Arial" w:hAnsi="Arial" w:cs="Arial"/>
          <w:color w:val="000000" w:themeColor="text1"/>
          <w:vertAlign w:val="superscript"/>
        </w:rPr>
        <w:t>]</w:t>
      </w:r>
      <w:r w:rsidR="00A54FBF" w:rsidRPr="00C31A10">
        <w:rPr>
          <w:rFonts w:ascii="Arial" w:hAnsi="Arial" w:cs="Arial"/>
          <w:color w:val="000000" w:themeColor="text1"/>
        </w:rPr>
        <w:t xml:space="preserve">. </w:t>
      </w:r>
      <w:r w:rsidR="00C31A10" w:rsidRPr="00C31A10">
        <w:rPr>
          <w:rFonts w:ascii="Arial" w:hAnsi="Arial" w:cs="Arial"/>
          <w:color w:val="000000" w:themeColor="text1"/>
        </w:rPr>
        <w:t xml:space="preserve">Younger participants in the present study reported more AEs following the third/booster </w:t>
      </w:r>
      <w:r w:rsidR="00C31A10" w:rsidRPr="00C31A10">
        <w:rPr>
          <w:rFonts w:ascii="Arial" w:hAnsi="Arial" w:cs="Arial"/>
          <w:bCs/>
          <w:color w:val="000000" w:themeColor="text1"/>
        </w:rPr>
        <w:t xml:space="preserve">BNT162b2/Pfizer dose, and the influenza </w:t>
      </w:r>
      <w:r w:rsidR="00530744">
        <w:rPr>
          <w:rFonts w:ascii="Arial" w:hAnsi="Arial" w:cs="Arial"/>
          <w:bCs/>
          <w:color w:val="000000" w:themeColor="text1"/>
        </w:rPr>
        <w:t>vaccine</w:t>
      </w:r>
      <w:r w:rsidR="00C31A10" w:rsidRPr="00C31A10">
        <w:rPr>
          <w:rFonts w:ascii="Arial" w:hAnsi="Arial" w:cs="Arial"/>
          <w:bCs/>
          <w:color w:val="000000" w:themeColor="text1"/>
        </w:rPr>
        <w:t xml:space="preserve">, </w:t>
      </w:r>
      <w:r w:rsidR="00C548DE">
        <w:rPr>
          <w:rFonts w:ascii="Arial" w:hAnsi="Arial" w:cs="Arial"/>
          <w:bCs/>
          <w:color w:val="000000" w:themeColor="text1"/>
        </w:rPr>
        <w:t xml:space="preserve">the former finding </w:t>
      </w:r>
      <w:r w:rsidR="003B2210">
        <w:rPr>
          <w:rFonts w:ascii="Arial" w:hAnsi="Arial" w:cs="Arial"/>
          <w:bCs/>
          <w:color w:val="000000" w:themeColor="text1"/>
        </w:rPr>
        <w:t xml:space="preserve">being consistent with </w:t>
      </w:r>
      <w:r w:rsidR="00C31A10" w:rsidRPr="00C31A10">
        <w:rPr>
          <w:rFonts w:ascii="Arial" w:hAnsi="Arial" w:cs="Arial"/>
          <w:bCs/>
          <w:color w:val="000000" w:themeColor="text1"/>
        </w:rPr>
        <w:t>our</w:t>
      </w:r>
      <w:r w:rsidR="003B2210">
        <w:rPr>
          <w:rFonts w:ascii="Arial" w:hAnsi="Arial" w:cs="Arial"/>
          <w:bCs/>
          <w:color w:val="000000" w:themeColor="text1"/>
        </w:rPr>
        <w:t xml:space="preserve"> and other’s</w:t>
      </w:r>
      <w:r w:rsidR="00C31A10" w:rsidRPr="00C31A10">
        <w:rPr>
          <w:rFonts w:ascii="Arial" w:hAnsi="Arial" w:cs="Arial"/>
          <w:bCs/>
          <w:color w:val="000000" w:themeColor="text1"/>
        </w:rPr>
        <w:t xml:space="preserve"> prior </w:t>
      </w:r>
      <w:proofErr w:type="gramStart"/>
      <w:r w:rsidR="00C31A10" w:rsidRPr="00C31A10">
        <w:rPr>
          <w:rFonts w:ascii="Arial" w:hAnsi="Arial" w:cs="Arial"/>
          <w:bCs/>
          <w:color w:val="000000" w:themeColor="text1"/>
        </w:rPr>
        <w:t>work</w:t>
      </w:r>
      <w:r w:rsidR="00C31A10" w:rsidRPr="00C31A10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C31A10" w:rsidRPr="00C31A10">
        <w:rPr>
          <w:rFonts w:ascii="Arial" w:hAnsi="Arial" w:cs="Arial"/>
          <w:bCs/>
          <w:color w:val="000000" w:themeColor="text1"/>
          <w:vertAlign w:val="superscript"/>
        </w:rPr>
        <w:t>9,10]</w:t>
      </w:r>
      <w:r w:rsidR="00C31A10" w:rsidRPr="00C31A10">
        <w:rPr>
          <w:rFonts w:ascii="Arial" w:hAnsi="Arial" w:cs="Arial"/>
          <w:bCs/>
          <w:color w:val="000000" w:themeColor="text1"/>
        </w:rPr>
        <w:t xml:space="preserve">. </w:t>
      </w:r>
    </w:p>
    <w:p w14:paraId="751EC868" w14:textId="5770ACEB" w:rsidR="00FA56CB" w:rsidRDefault="00FA56CB" w:rsidP="00BD26BB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</w:p>
    <w:p w14:paraId="18A6941B" w14:textId="13C80EFE" w:rsidR="00FA56CB" w:rsidRDefault="00FA56CB" w:rsidP="00BD26BB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Our second key finding was that the effect of prior COVID-19 </w:t>
      </w:r>
      <w:r w:rsidR="00572A18">
        <w:rPr>
          <w:rFonts w:ascii="Arial" w:hAnsi="Arial" w:cs="Arial"/>
          <w:bCs/>
          <w:color w:val="000000" w:themeColor="text1"/>
        </w:rPr>
        <w:t xml:space="preserve">on vaccine-associated AEs, </w:t>
      </w:r>
      <w:r w:rsidR="00530744">
        <w:rPr>
          <w:rFonts w:ascii="Arial" w:hAnsi="Arial" w:cs="Arial"/>
          <w:bCs/>
          <w:color w:val="000000" w:themeColor="text1"/>
        </w:rPr>
        <w:t xml:space="preserve">was again </w:t>
      </w:r>
      <w:r>
        <w:rPr>
          <w:rFonts w:ascii="Arial" w:hAnsi="Arial" w:cs="Arial"/>
          <w:bCs/>
          <w:color w:val="000000" w:themeColor="text1"/>
        </w:rPr>
        <w:t xml:space="preserve">carried over to the </w:t>
      </w:r>
      <w:r w:rsidR="002844A0">
        <w:rPr>
          <w:rFonts w:ascii="Arial" w:hAnsi="Arial" w:cs="Arial"/>
          <w:bCs/>
          <w:color w:val="000000" w:themeColor="text1"/>
        </w:rPr>
        <w:t>third/booster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8C1B51">
        <w:rPr>
          <w:rFonts w:ascii="Arial" w:hAnsi="Arial" w:cs="Arial"/>
          <w:bCs/>
          <w:color w:val="000000" w:themeColor="text1"/>
        </w:rPr>
        <w:t>BNT162b2/Pfizer</w:t>
      </w:r>
      <w:r>
        <w:rPr>
          <w:rFonts w:ascii="Arial" w:hAnsi="Arial" w:cs="Arial"/>
          <w:bCs/>
          <w:color w:val="000000" w:themeColor="text1"/>
        </w:rPr>
        <w:t xml:space="preserve"> dose</w:t>
      </w:r>
      <w:r w:rsidR="00530744">
        <w:rPr>
          <w:rFonts w:ascii="Arial" w:hAnsi="Arial" w:cs="Arial"/>
          <w:bCs/>
          <w:color w:val="000000" w:themeColor="text1"/>
        </w:rPr>
        <w:t xml:space="preserve"> in terms of increased AEs</w:t>
      </w:r>
      <w:r>
        <w:rPr>
          <w:rFonts w:ascii="Arial" w:hAnsi="Arial" w:cs="Arial"/>
          <w:bCs/>
          <w:color w:val="000000" w:themeColor="text1"/>
        </w:rPr>
        <w:t xml:space="preserve">. Nevertheless, the presence of self-reported OCS did not seem to impact AEs to </w:t>
      </w:r>
      <w:r w:rsidRPr="008C1B51">
        <w:rPr>
          <w:rFonts w:ascii="Arial" w:hAnsi="Arial" w:cs="Arial"/>
          <w:bCs/>
          <w:color w:val="000000" w:themeColor="text1"/>
        </w:rPr>
        <w:t>BNT162b2/Pfizer</w:t>
      </w:r>
      <w:r>
        <w:rPr>
          <w:rFonts w:ascii="Arial" w:hAnsi="Arial" w:cs="Arial"/>
          <w:bCs/>
          <w:color w:val="000000" w:themeColor="text1"/>
        </w:rPr>
        <w:t xml:space="preserve"> vaccination at any of the dosage timepoints, </w:t>
      </w:r>
      <w:r w:rsidR="00B54A74">
        <w:rPr>
          <w:rFonts w:ascii="Arial" w:hAnsi="Arial" w:cs="Arial"/>
          <w:bCs/>
          <w:color w:val="000000" w:themeColor="text1"/>
        </w:rPr>
        <w:t>although</w:t>
      </w:r>
      <w:r>
        <w:rPr>
          <w:rFonts w:ascii="Arial" w:hAnsi="Arial" w:cs="Arial"/>
          <w:bCs/>
          <w:color w:val="000000" w:themeColor="text1"/>
        </w:rPr>
        <w:t xml:space="preserve"> our sample of HCWs with OCS was no</w:t>
      </w:r>
      <w:r w:rsidR="00B54A74">
        <w:rPr>
          <w:rFonts w:ascii="Arial" w:hAnsi="Arial" w:cs="Arial"/>
          <w:bCs/>
          <w:color w:val="000000" w:themeColor="text1"/>
        </w:rPr>
        <w:t>tably</w:t>
      </w:r>
      <w:r>
        <w:rPr>
          <w:rFonts w:ascii="Arial" w:hAnsi="Arial" w:cs="Arial"/>
          <w:bCs/>
          <w:color w:val="000000" w:themeColor="text1"/>
        </w:rPr>
        <w:t xml:space="preserve"> small. </w:t>
      </w:r>
    </w:p>
    <w:p w14:paraId="67B7561D" w14:textId="77777777" w:rsidR="00FA56CB" w:rsidRDefault="00FA56CB" w:rsidP="00BD26BB">
      <w:p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</w:p>
    <w:p w14:paraId="7ADDDAD3" w14:textId="7865EECE" w:rsidR="00A54FBF" w:rsidRDefault="00A54FBF" w:rsidP="00A54FBF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Regarding the effect of </w:t>
      </w:r>
      <w:r w:rsidR="00530744">
        <w:rPr>
          <w:rFonts w:ascii="Arial" w:hAnsi="Arial" w:cs="Arial"/>
          <w:bCs/>
          <w:color w:val="000000" w:themeColor="text1"/>
        </w:rPr>
        <w:t xml:space="preserve">influenza </w:t>
      </w:r>
      <w:r>
        <w:rPr>
          <w:rFonts w:ascii="Arial" w:hAnsi="Arial" w:cs="Arial"/>
          <w:bCs/>
          <w:color w:val="000000" w:themeColor="text1"/>
        </w:rPr>
        <w:t xml:space="preserve">vaccination on AEs experienced around the time of the third/booster </w:t>
      </w:r>
      <w:r w:rsidR="00B54A74" w:rsidRPr="00CF1942">
        <w:rPr>
          <w:rFonts w:ascii="Arial" w:hAnsi="Arial" w:cs="Arial"/>
          <w:color w:val="000000" w:themeColor="text1"/>
        </w:rPr>
        <w:t>BNT162b2/Pfizer</w:t>
      </w:r>
      <w:r w:rsidR="00B54A7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dose, our analysis was somewhat limited by the small number of HCWs that received their </w:t>
      </w:r>
      <w:r w:rsidR="00530744">
        <w:rPr>
          <w:rFonts w:ascii="Arial" w:hAnsi="Arial" w:cs="Arial"/>
          <w:color w:val="000000" w:themeColor="text1"/>
        </w:rPr>
        <w:t>i</w:t>
      </w:r>
      <w:r w:rsidR="00E95314">
        <w:rPr>
          <w:rFonts w:ascii="Arial" w:hAnsi="Arial" w:cs="Arial"/>
          <w:color w:val="000000" w:themeColor="text1"/>
        </w:rPr>
        <w:t>nfluenza</w:t>
      </w:r>
      <w:r w:rsidR="00530744">
        <w:rPr>
          <w:rFonts w:ascii="Arial" w:hAnsi="Arial" w:cs="Arial"/>
          <w:color w:val="000000" w:themeColor="text1"/>
        </w:rPr>
        <w:t xml:space="preserve"> vaccine</w:t>
      </w:r>
      <w:r>
        <w:rPr>
          <w:rFonts w:ascii="Arial" w:hAnsi="Arial" w:cs="Arial"/>
          <w:color w:val="000000" w:themeColor="text1"/>
        </w:rPr>
        <w:t xml:space="preserve"> within 7 days of t </w:t>
      </w:r>
      <w:r w:rsidRPr="00CF1942">
        <w:rPr>
          <w:rFonts w:ascii="Arial" w:hAnsi="Arial" w:cs="Arial"/>
          <w:color w:val="000000" w:themeColor="text1"/>
        </w:rPr>
        <w:t>BNT162b2/Pfizer vacc</w:t>
      </w:r>
      <w:r>
        <w:rPr>
          <w:rFonts w:ascii="Arial" w:hAnsi="Arial" w:cs="Arial"/>
          <w:color w:val="000000" w:themeColor="text1"/>
        </w:rPr>
        <w:t>ination (n=56). Analyses did however show that HCWs in this subgroup reported similar number</w:t>
      </w:r>
      <w:r w:rsidR="0070176D">
        <w:rPr>
          <w:rFonts w:ascii="Arial" w:hAnsi="Arial" w:cs="Arial"/>
          <w:color w:val="000000" w:themeColor="text1"/>
        </w:rPr>
        <w:t>s/levels</w:t>
      </w:r>
      <w:r>
        <w:rPr>
          <w:rFonts w:ascii="Arial" w:hAnsi="Arial" w:cs="Arial"/>
          <w:color w:val="000000" w:themeColor="text1"/>
        </w:rPr>
        <w:t xml:space="preserve"> of AEs compared to individuals who received </w:t>
      </w:r>
      <w:r w:rsidRPr="00CF1942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 xml:space="preserve">accines more than 7 days apart. This supports previous safety data, which found no worse AEs reported following concomitant administration of </w:t>
      </w:r>
      <w:r w:rsidR="0070176D">
        <w:rPr>
          <w:rFonts w:ascii="Arial" w:hAnsi="Arial" w:cs="Arial"/>
          <w:color w:val="000000" w:themeColor="text1"/>
        </w:rPr>
        <w:t xml:space="preserve">influenza </w:t>
      </w:r>
      <w:r>
        <w:rPr>
          <w:rFonts w:ascii="Arial" w:hAnsi="Arial" w:cs="Arial"/>
          <w:color w:val="000000" w:themeColor="text1"/>
        </w:rPr>
        <w:t xml:space="preserve">with doses one or two of COVID-19 </w:t>
      </w:r>
      <w:proofErr w:type="gramStart"/>
      <w:r>
        <w:rPr>
          <w:rFonts w:ascii="Arial" w:hAnsi="Arial" w:cs="Arial"/>
          <w:color w:val="000000" w:themeColor="text1"/>
        </w:rPr>
        <w:t>vaccine</w:t>
      </w:r>
      <w:r w:rsidR="00382F49">
        <w:rPr>
          <w:rFonts w:ascii="Arial" w:hAnsi="Arial" w:cs="Arial"/>
          <w:color w:val="000000" w:themeColor="text1"/>
        </w:rPr>
        <w:t>s</w:t>
      </w:r>
      <w:r w:rsidRPr="00A54FBF">
        <w:rPr>
          <w:rFonts w:ascii="Arial" w:hAnsi="Arial" w:cs="Arial"/>
          <w:color w:val="000000" w:themeColor="text1"/>
          <w:vertAlign w:val="superscript"/>
        </w:rPr>
        <w:t>[</w:t>
      </w:r>
      <w:proofErr w:type="gramEnd"/>
      <w:r w:rsidR="0040130E">
        <w:rPr>
          <w:rFonts w:ascii="Arial" w:hAnsi="Arial" w:cs="Arial"/>
          <w:color w:val="000000" w:themeColor="text1"/>
          <w:vertAlign w:val="superscript"/>
        </w:rPr>
        <w:t>13,14</w:t>
      </w:r>
      <w:r w:rsidRPr="00A54FBF">
        <w:rPr>
          <w:rFonts w:ascii="Arial" w:hAnsi="Arial" w:cs="Arial"/>
          <w:color w:val="000000" w:themeColor="text1"/>
          <w:vertAlign w:val="superscript"/>
        </w:rPr>
        <w:t>]</w:t>
      </w:r>
      <w:r>
        <w:rPr>
          <w:rFonts w:ascii="Arial" w:hAnsi="Arial" w:cs="Arial"/>
          <w:color w:val="000000" w:themeColor="text1"/>
        </w:rPr>
        <w:t xml:space="preserve">. </w:t>
      </w:r>
    </w:p>
    <w:p w14:paraId="622B8504" w14:textId="55F52235" w:rsidR="007228AD" w:rsidRDefault="007228AD" w:rsidP="00A54FBF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</w:p>
    <w:p w14:paraId="61419A35" w14:textId="775D352D" w:rsidR="002844A0" w:rsidRDefault="007228AD" w:rsidP="004915B5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Limitations of the present work include </w:t>
      </w:r>
      <w:r w:rsidR="00595B38">
        <w:rPr>
          <w:rFonts w:ascii="Arial" w:hAnsi="Arial" w:cs="Arial"/>
          <w:color w:val="000000" w:themeColor="text1"/>
        </w:rPr>
        <w:t xml:space="preserve">the </w:t>
      </w:r>
      <w:r w:rsidR="0086163C">
        <w:rPr>
          <w:rFonts w:ascii="Arial" w:hAnsi="Arial" w:cs="Arial"/>
          <w:color w:val="000000" w:themeColor="text1"/>
        </w:rPr>
        <w:t xml:space="preserve">large </w:t>
      </w:r>
      <w:r w:rsidR="00595B38">
        <w:rPr>
          <w:rFonts w:ascii="Arial" w:hAnsi="Arial" w:cs="Arial"/>
          <w:color w:val="000000" w:themeColor="text1"/>
        </w:rPr>
        <w:t xml:space="preserve">sample imbalance </w:t>
      </w:r>
      <w:r w:rsidR="0086163C">
        <w:rPr>
          <w:rFonts w:ascii="Arial" w:hAnsi="Arial" w:cs="Arial"/>
          <w:color w:val="000000" w:themeColor="text1"/>
        </w:rPr>
        <w:t>for</w:t>
      </w:r>
      <w:r w:rsidR="00595B38">
        <w:rPr>
          <w:rFonts w:ascii="Arial" w:hAnsi="Arial" w:cs="Arial"/>
          <w:color w:val="000000" w:themeColor="text1"/>
        </w:rPr>
        <w:t xml:space="preserve"> participant gender (</w:t>
      </w:r>
      <w:r w:rsidR="004E13E0">
        <w:rPr>
          <w:rFonts w:ascii="Arial" w:hAnsi="Arial" w:cs="Arial"/>
          <w:color w:val="000000" w:themeColor="text1"/>
        </w:rPr>
        <w:t>85%</w:t>
      </w:r>
      <w:r w:rsidR="00595B38">
        <w:rPr>
          <w:rFonts w:ascii="Arial" w:hAnsi="Arial" w:cs="Arial"/>
          <w:color w:val="000000" w:themeColor="text1"/>
        </w:rPr>
        <w:t xml:space="preserve"> female),</w:t>
      </w:r>
      <w:r w:rsidR="0070176D">
        <w:rPr>
          <w:rFonts w:ascii="Arial" w:hAnsi="Arial" w:cs="Arial"/>
          <w:color w:val="000000" w:themeColor="text1"/>
        </w:rPr>
        <w:t xml:space="preserve"> and the</w:t>
      </w:r>
      <w:r w:rsidR="00595B38">
        <w:rPr>
          <w:rFonts w:ascii="Arial" w:hAnsi="Arial" w:cs="Arial"/>
          <w:color w:val="000000" w:themeColor="text1"/>
        </w:rPr>
        <w:t xml:space="preserve"> retrospective recall </w:t>
      </w:r>
      <w:r w:rsidR="004E13E0">
        <w:rPr>
          <w:rFonts w:ascii="Arial" w:hAnsi="Arial" w:cs="Arial"/>
          <w:color w:val="000000" w:themeColor="text1"/>
        </w:rPr>
        <w:t xml:space="preserve">(up to 12 months) </w:t>
      </w:r>
      <w:r w:rsidR="00595B38">
        <w:rPr>
          <w:rFonts w:ascii="Arial" w:hAnsi="Arial" w:cs="Arial"/>
          <w:color w:val="000000" w:themeColor="text1"/>
        </w:rPr>
        <w:t xml:space="preserve">of AEs </w:t>
      </w:r>
      <w:r w:rsidR="004E13E0">
        <w:rPr>
          <w:rFonts w:ascii="Arial" w:hAnsi="Arial" w:cs="Arial"/>
          <w:color w:val="000000" w:themeColor="text1"/>
        </w:rPr>
        <w:t>in</w:t>
      </w:r>
      <w:r w:rsidR="0086163C">
        <w:rPr>
          <w:rFonts w:ascii="Arial" w:hAnsi="Arial" w:cs="Arial"/>
          <w:color w:val="000000" w:themeColor="text1"/>
        </w:rPr>
        <w:t xml:space="preserve"> the present study.</w:t>
      </w:r>
      <w:r w:rsidR="004E13E0">
        <w:rPr>
          <w:rFonts w:ascii="Arial" w:hAnsi="Arial" w:cs="Arial"/>
          <w:bCs/>
          <w:color w:val="000000" w:themeColor="text1"/>
        </w:rPr>
        <w:t xml:space="preserve"> </w:t>
      </w:r>
      <w:r w:rsidR="0086163C">
        <w:rPr>
          <w:rFonts w:ascii="Arial" w:hAnsi="Arial" w:cs="Arial"/>
          <w:bCs/>
          <w:color w:val="000000" w:themeColor="text1"/>
        </w:rPr>
        <w:t>Given that vaccine safety plays a central role in people</w:t>
      </w:r>
      <w:r w:rsidR="00311DCF">
        <w:rPr>
          <w:rFonts w:ascii="Arial" w:hAnsi="Arial" w:cs="Arial"/>
          <w:bCs/>
          <w:color w:val="000000" w:themeColor="text1"/>
        </w:rPr>
        <w:t>’</w:t>
      </w:r>
      <w:r w:rsidR="0086163C">
        <w:rPr>
          <w:rFonts w:ascii="Arial" w:hAnsi="Arial" w:cs="Arial"/>
          <w:bCs/>
          <w:color w:val="000000" w:themeColor="text1"/>
        </w:rPr>
        <w:t xml:space="preserve">s decision to accept a vaccination, our present work has implications for vaccine </w:t>
      </w:r>
      <w:proofErr w:type="gramStart"/>
      <w:r w:rsidR="0086163C">
        <w:rPr>
          <w:rFonts w:ascii="Arial" w:hAnsi="Arial" w:cs="Arial"/>
          <w:bCs/>
          <w:color w:val="000000" w:themeColor="text1"/>
        </w:rPr>
        <w:t>hesitancy</w:t>
      </w:r>
      <w:r w:rsidR="0086163C" w:rsidRPr="0086163C">
        <w:rPr>
          <w:rFonts w:ascii="Arial" w:hAnsi="Arial" w:cs="Arial"/>
          <w:bCs/>
          <w:color w:val="000000" w:themeColor="text1"/>
          <w:vertAlign w:val="superscript"/>
        </w:rPr>
        <w:t>[</w:t>
      </w:r>
      <w:proofErr w:type="gramEnd"/>
      <w:r w:rsidR="00B853A3">
        <w:rPr>
          <w:rFonts w:ascii="Arial" w:hAnsi="Arial" w:cs="Arial"/>
          <w:bCs/>
          <w:color w:val="000000" w:themeColor="text1"/>
          <w:vertAlign w:val="superscript"/>
        </w:rPr>
        <w:t>19,20</w:t>
      </w:r>
      <w:r w:rsidR="0086163C" w:rsidRPr="0086163C">
        <w:rPr>
          <w:rFonts w:ascii="Arial" w:hAnsi="Arial" w:cs="Arial"/>
          <w:bCs/>
          <w:color w:val="000000" w:themeColor="text1"/>
          <w:vertAlign w:val="superscript"/>
        </w:rPr>
        <w:t>]</w:t>
      </w:r>
      <w:r w:rsidR="0086163C">
        <w:rPr>
          <w:rFonts w:ascii="Arial" w:hAnsi="Arial" w:cs="Arial"/>
          <w:bCs/>
          <w:color w:val="000000" w:themeColor="text1"/>
        </w:rPr>
        <w:t xml:space="preserve">. We found that </w:t>
      </w:r>
      <w:r w:rsidR="0086163C" w:rsidRPr="00CF1942">
        <w:rPr>
          <w:rFonts w:ascii="Arial" w:hAnsi="Arial" w:cs="Arial"/>
          <w:color w:val="000000" w:themeColor="text1"/>
        </w:rPr>
        <w:t>BNT162b2/Pfizer</w:t>
      </w:r>
      <w:r w:rsidR="0086163C">
        <w:rPr>
          <w:rFonts w:ascii="Arial" w:hAnsi="Arial" w:cs="Arial"/>
          <w:color w:val="000000" w:themeColor="text1"/>
        </w:rPr>
        <w:t>-related AEs diminished with each successive dose</w:t>
      </w:r>
      <w:r w:rsidR="004915B5">
        <w:rPr>
          <w:rFonts w:ascii="Arial" w:hAnsi="Arial" w:cs="Arial"/>
          <w:color w:val="000000" w:themeColor="text1"/>
        </w:rPr>
        <w:t xml:space="preserve"> and </w:t>
      </w:r>
      <w:r w:rsidR="0086163C">
        <w:rPr>
          <w:rFonts w:ascii="Arial" w:hAnsi="Arial" w:cs="Arial"/>
          <w:color w:val="000000" w:themeColor="text1"/>
        </w:rPr>
        <w:t xml:space="preserve">were no worse than the AEs reported by HCWs following </w:t>
      </w:r>
      <w:r w:rsidR="004E13E0">
        <w:rPr>
          <w:rFonts w:ascii="Arial" w:hAnsi="Arial" w:cs="Arial"/>
          <w:color w:val="000000" w:themeColor="text1"/>
        </w:rPr>
        <w:t>i</w:t>
      </w:r>
      <w:r w:rsidR="00E95314">
        <w:rPr>
          <w:rFonts w:ascii="Arial" w:hAnsi="Arial" w:cs="Arial"/>
          <w:color w:val="000000" w:themeColor="text1"/>
        </w:rPr>
        <w:t>nfluenza</w:t>
      </w:r>
      <w:r w:rsidR="0086163C">
        <w:rPr>
          <w:rFonts w:ascii="Arial" w:hAnsi="Arial" w:cs="Arial"/>
          <w:color w:val="000000" w:themeColor="text1"/>
        </w:rPr>
        <w:t xml:space="preserve"> </w:t>
      </w:r>
      <w:r w:rsidR="001C6036">
        <w:rPr>
          <w:rFonts w:ascii="Arial" w:hAnsi="Arial" w:cs="Arial"/>
          <w:color w:val="000000" w:themeColor="text1"/>
        </w:rPr>
        <w:t>vaccine</w:t>
      </w:r>
      <w:r w:rsidR="0086163C">
        <w:rPr>
          <w:rFonts w:ascii="Arial" w:hAnsi="Arial" w:cs="Arial"/>
          <w:color w:val="000000" w:themeColor="text1"/>
        </w:rPr>
        <w:t xml:space="preserve">, which has been widely accepted for many years. </w:t>
      </w:r>
      <w:r w:rsidR="004915B5">
        <w:rPr>
          <w:rFonts w:ascii="Arial" w:hAnsi="Arial" w:cs="Arial"/>
          <w:color w:val="000000" w:themeColor="text1"/>
        </w:rPr>
        <w:t xml:space="preserve">Our present work also provides preliminary data to support </w:t>
      </w:r>
      <w:r w:rsidR="003204D9">
        <w:rPr>
          <w:rFonts w:ascii="Arial" w:hAnsi="Arial" w:cs="Arial"/>
          <w:color w:val="000000" w:themeColor="text1"/>
        </w:rPr>
        <w:t xml:space="preserve">concomitant </w:t>
      </w:r>
      <w:r w:rsidR="004915B5">
        <w:rPr>
          <w:rFonts w:ascii="Arial" w:hAnsi="Arial" w:cs="Arial"/>
          <w:color w:val="000000" w:themeColor="text1"/>
        </w:rPr>
        <w:t xml:space="preserve">administration of the third/booster </w:t>
      </w:r>
      <w:r w:rsidR="004915B5" w:rsidRPr="00CF1942">
        <w:rPr>
          <w:rFonts w:ascii="Arial" w:hAnsi="Arial" w:cs="Arial"/>
          <w:color w:val="000000" w:themeColor="text1"/>
        </w:rPr>
        <w:t>BNT162b2/Pfizer</w:t>
      </w:r>
      <w:r w:rsidR="004915B5">
        <w:rPr>
          <w:rFonts w:ascii="Arial" w:hAnsi="Arial" w:cs="Arial"/>
          <w:color w:val="000000" w:themeColor="text1"/>
        </w:rPr>
        <w:t xml:space="preserve"> vaccination alongside the </w:t>
      </w:r>
      <w:r w:rsidR="003204D9">
        <w:rPr>
          <w:rFonts w:ascii="Arial" w:hAnsi="Arial" w:cs="Arial"/>
          <w:color w:val="000000" w:themeColor="text1"/>
        </w:rPr>
        <w:t>i</w:t>
      </w:r>
      <w:r w:rsidR="00E95314">
        <w:rPr>
          <w:rFonts w:ascii="Arial" w:hAnsi="Arial" w:cs="Arial"/>
          <w:color w:val="000000" w:themeColor="text1"/>
        </w:rPr>
        <w:t>nfluenza</w:t>
      </w:r>
      <w:r w:rsidR="004915B5">
        <w:rPr>
          <w:rFonts w:ascii="Arial" w:hAnsi="Arial" w:cs="Arial"/>
          <w:color w:val="000000" w:themeColor="text1"/>
        </w:rPr>
        <w:t xml:space="preserve"> </w:t>
      </w:r>
      <w:r w:rsidR="003204D9">
        <w:rPr>
          <w:rFonts w:ascii="Arial" w:hAnsi="Arial" w:cs="Arial"/>
          <w:color w:val="000000" w:themeColor="text1"/>
        </w:rPr>
        <w:t>vaccine</w:t>
      </w:r>
      <w:r w:rsidR="004915B5">
        <w:rPr>
          <w:rFonts w:ascii="Arial" w:hAnsi="Arial" w:cs="Arial"/>
          <w:color w:val="000000" w:themeColor="text1"/>
        </w:rPr>
        <w:t xml:space="preserve">.  </w:t>
      </w:r>
      <w:r w:rsidR="00845F1F">
        <w:rPr>
          <w:rFonts w:ascii="Arial" w:hAnsi="Arial" w:cs="Arial"/>
          <w:color w:val="000000" w:themeColor="text1"/>
        </w:rPr>
        <w:t>These findings of relatively mild AEs, even when given alongside influenza vaccine, should be used to bolster public confidence in immunisation programmes.</w:t>
      </w:r>
    </w:p>
    <w:p w14:paraId="6DFF12FC" w14:textId="77777777" w:rsidR="00D64C11" w:rsidRDefault="00D64C11" w:rsidP="004915B5">
      <w:pPr>
        <w:spacing w:after="0"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03E069DF" w14:textId="26889825" w:rsidR="002E58BA" w:rsidRPr="006C2748" w:rsidRDefault="0085577D" w:rsidP="004915B5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6C2748">
        <w:rPr>
          <w:rFonts w:ascii="Arial" w:hAnsi="Arial" w:cs="Arial"/>
          <w:b/>
          <w:color w:val="000000" w:themeColor="text1"/>
        </w:rPr>
        <w:t>5. Conclusion</w:t>
      </w:r>
      <w:r w:rsidR="003E5746" w:rsidRPr="006C2748">
        <w:rPr>
          <w:rFonts w:ascii="Arial" w:hAnsi="Arial" w:cs="Arial"/>
          <w:b/>
          <w:color w:val="000000" w:themeColor="text1"/>
        </w:rPr>
        <w:t xml:space="preserve"> </w:t>
      </w:r>
    </w:p>
    <w:p w14:paraId="1CDF585F" w14:textId="3E5B83C8" w:rsidR="00F71A96" w:rsidRPr="00A1216B" w:rsidRDefault="004915B5" w:rsidP="00A1216B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Prior history of COVID-19 was associated with increased AEs to </w:t>
      </w:r>
      <w:r w:rsidR="00B853A3">
        <w:rPr>
          <w:rFonts w:ascii="Arial" w:hAnsi="Arial" w:cs="Arial"/>
          <w:color w:val="000000" w:themeColor="text1"/>
        </w:rPr>
        <w:t>BNT162b2</w:t>
      </w:r>
      <w:r w:rsidRPr="00CF1942">
        <w:rPr>
          <w:rFonts w:ascii="Arial" w:hAnsi="Arial" w:cs="Arial"/>
          <w:color w:val="000000" w:themeColor="text1"/>
        </w:rPr>
        <w:t>/Pfizer</w:t>
      </w:r>
      <w:r>
        <w:rPr>
          <w:rFonts w:ascii="Arial" w:hAnsi="Arial" w:cs="Arial"/>
          <w:color w:val="000000" w:themeColor="text1"/>
        </w:rPr>
        <w:t xml:space="preserve"> vaccination at all three dosage points. The presence of OCS and female gender had no impact on AEs to </w:t>
      </w:r>
      <w:r w:rsidRPr="00CF1942">
        <w:rPr>
          <w:rFonts w:ascii="Arial" w:hAnsi="Arial" w:cs="Arial"/>
          <w:color w:val="000000" w:themeColor="text1"/>
        </w:rPr>
        <w:t>BNT162b2/Pfizer</w:t>
      </w:r>
      <w:r>
        <w:rPr>
          <w:rFonts w:ascii="Arial" w:hAnsi="Arial" w:cs="Arial"/>
          <w:color w:val="000000" w:themeColor="text1"/>
        </w:rPr>
        <w:t xml:space="preserve"> or </w:t>
      </w:r>
      <w:r w:rsidR="003204D9">
        <w:rPr>
          <w:rFonts w:ascii="Arial" w:hAnsi="Arial" w:cs="Arial"/>
          <w:color w:val="000000" w:themeColor="text1"/>
        </w:rPr>
        <w:t>i</w:t>
      </w:r>
      <w:r w:rsidR="00E95314">
        <w:rPr>
          <w:rFonts w:ascii="Arial" w:hAnsi="Arial" w:cs="Arial"/>
          <w:color w:val="000000" w:themeColor="text1"/>
        </w:rPr>
        <w:t>nfluenza</w:t>
      </w:r>
      <w:r>
        <w:rPr>
          <w:rFonts w:ascii="Arial" w:hAnsi="Arial" w:cs="Arial"/>
          <w:color w:val="000000" w:themeColor="text1"/>
        </w:rPr>
        <w:t xml:space="preserve"> vaccination</w:t>
      </w:r>
      <w:r w:rsidR="00B85DC6">
        <w:rPr>
          <w:rFonts w:ascii="Arial" w:hAnsi="Arial" w:cs="Arial"/>
          <w:color w:val="000000" w:themeColor="text1"/>
        </w:rPr>
        <w:t>, though younger HCWs experienced more AEs</w:t>
      </w:r>
      <w:r>
        <w:rPr>
          <w:rFonts w:ascii="Arial" w:hAnsi="Arial" w:cs="Arial"/>
          <w:color w:val="000000" w:themeColor="text1"/>
        </w:rPr>
        <w:t xml:space="preserve">. </w:t>
      </w:r>
      <w:r w:rsidR="002844A0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 xml:space="preserve">astly, AEs were no worse in HCWs who received </w:t>
      </w:r>
      <w:r w:rsidR="003204D9">
        <w:rPr>
          <w:rFonts w:ascii="Arial" w:hAnsi="Arial" w:cs="Arial"/>
          <w:color w:val="000000" w:themeColor="text1"/>
        </w:rPr>
        <w:t xml:space="preserve">concomitant </w:t>
      </w:r>
      <w:r>
        <w:rPr>
          <w:rFonts w:ascii="Arial" w:hAnsi="Arial" w:cs="Arial"/>
          <w:color w:val="000000" w:themeColor="text1"/>
        </w:rPr>
        <w:t xml:space="preserve">booster </w:t>
      </w:r>
      <w:r w:rsidRPr="00CF1942">
        <w:rPr>
          <w:rFonts w:ascii="Arial" w:hAnsi="Arial" w:cs="Arial"/>
          <w:color w:val="000000" w:themeColor="text1"/>
        </w:rPr>
        <w:t>BNT162b2/Pfizer</w:t>
      </w:r>
      <w:r>
        <w:rPr>
          <w:rFonts w:ascii="Arial" w:hAnsi="Arial" w:cs="Arial"/>
          <w:color w:val="000000" w:themeColor="text1"/>
        </w:rPr>
        <w:t xml:space="preserve"> </w:t>
      </w:r>
      <w:r w:rsidR="003204D9">
        <w:rPr>
          <w:rFonts w:ascii="Arial" w:hAnsi="Arial" w:cs="Arial"/>
          <w:color w:val="000000" w:themeColor="text1"/>
        </w:rPr>
        <w:t>and i</w:t>
      </w:r>
      <w:r w:rsidR="00E95314">
        <w:rPr>
          <w:rFonts w:ascii="Arial" w:hAnsi="Arial" w:cs="Arial"/>
          <w:color w:val="000000" w:themeColor="text1"/>
        </w:rPr>
        <w:t>nfluenza</w:t>
      </w:r>
      <w:r>
        <w:rPr>
          <w:rFonts w:ascii="Arial" w:hAnsi="Arial" w:cs="Arial"/>
          <w:color w:val="000000" w:themeColor="text1"/>
        </w:rPr>
        <w:t xml:space="preserve"> </w:t>
      </w:r>
      <w:r w:rsidR="003204D9">
        <w:rPr>
          <w:rFonts w:ascii="Arial" w:hAnsi="Arial" w:cs="Arial"/>
          <w:color w:val="000000" w:themeColor="text1"/>
        </w:rPr>
        <w:t>vaccines</w:t>
      </w:r>
      <w:r>
        <w:rPr>
          <w:rFonts w:ascii="Arial" w:hAnsi="Arial" w:cs="Arial"/>
          <w:color w:val="000000" w:themeColor="text1"/>
        </w:rPr>
        <w:t xml:space="preserve">. </w:t>
      </w:r>
      <w:r w:rsidR="00F71A96">
        <w:rPr>
          <w:rFonts w:ascii="Arial" w:hAnsi="Arial" w:cs="Arial"/>
          <w:b/>
          <w:bCs/>
          <w:color w:val="000000" w:themeColor="text1"/>
          <w:u w:val="single"/>
        </w:rPr>
        <w:br w:type="page"/>
      </w:r>
    </w:p>
    <w:p w14:paraId="4326E31C" w14:textId="6F25EC18" w:rsidR="004A515C" w:rsidRPr="006C2748" w:rsidRDefault="004A515C" w:rsidP="004A515C">
      <w:pPr>
        <w:spacing w:after="0" w:line="48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6C2748">
        <w:rPr>
          <w:rFonts w:ascii="Arial" w:hAnsi="Arial" w:cs="Arial"/>
          <w:b/>
          <w:bCs/>
          <w:color w:val="000000" w:themeColor="text1"/>
          <w:u w:val="single"/>
        </w:rPr>
        <w:lastRenderedPageBreak/>
        <w:t>Contributors</w:t>
      </w:r>
    </w:p>
    <w:p w14:paraId="2B4CA0FA" w14:textId="56CC5F1A" w:rsidR="003E088E" w:rsidRPr="006C2748" w:rsidRDefault="00EA1433" w:rsidP="007E0399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6C2748">
        <w:rPr>
          <w:rFonts w:ascii="Arial" w:hAnsi="Arial" w:cs="Arial"/>
          <w:color w:val="000000" w:themeColor="text1"/>
        </w:rPr>
        <w:t>DRC/</w:t>
      </w:r>
      <w:r w:rsidR="00A748C9">
        <w:rPr>
          <w:rFonts w:ascii="Arial" w:hAnsi="Arial" w:cs="Arial"/>
          <w:color w:val="000000" w:themeColor="text1"/>
        </w:rPr>
        <w:t>JR</w:t>
      </w:r>
      <w:r w:rsidR="0021748B" w:rsidRPr="006C2748">
        <w:rPr>
          <w:rFonts w:ascii="Arial" w:hAnsi="Arial" w:cs="Arial"/>
          <w:color w:val="000000" w:themeColor="text1"/>
        </w:rPr>
        <w:t>/</w:t>
      </w:r>
      <w:r w:rsidRPr="006C2748">
        <w:rPr>
          <w:rFonts w:ascii="Arial" w:hAnsi="Arial" w:cs="Arial"/>
          <w:color w:val="000000" w:themeColor="text1"/>
        </w:rPr>
        <w:t>RKR conceived the study and DRC is chief investigator</w:t>
      </w:r>
      <w:r w:rsidR="0054747D" w:rsidRPr="006C2748">
        <w:rPr>
          <w:rFonts w:ascii="Arial" w:hAnsi="Arial" w:cs="Arial"/>
          <w:color w:val="000000" w:themeColor="text1"/>
        </w:rPr>
        <w:t xml:space="preserve"> of CHOIS</w:t>
      </w:r>
      <w:r w:rsidRPr="006C2748">
        <w:rPr>
          <w:rFonts w:ascii="Arial" w:hAnsi="Arial" w:cs="Arial"/>
          <w:color w:val="000000" w:themeColor="text1"/>
        </w:rPr>
        <w:t>. RKR</w:t>
      </w:r>
      <w:r w:rsidR="00CF58AE" w:rsidRPr="006C2748">
        <w:rPr>
          <w:rFonts w:ascii="Arial" w:hAnsi="Arial" w:cs="Arial"/>
          <w:color w:val="000000" w:themeColor="text1"/>
        </w:rPr>
        <w:t xml:space="preserve"> acted as site principal investigator. DRC/RKR/CW </w:t>
      </w:r>
      <w:r w:rsidRPr="006C2748">
        <w:rPr>
          <w:rFonts w:ascii="Arial" w:hAnsi="Arial" w:cs="Arial"/>
          <w:color w:val="000000" w:themeColor="text1"/>
        </w:rPr>
        <w:t>contributed to the study protocol, design, and data collection. JR did the statistical analysis. RKR/</w:t>
      </w:r>
      <w:r w:rsidR="00CF58AE" w:rsidRPr="006C2748">
        <w:rPr>
          <w:rFonts w:ascii="Arial" w:hAnsi="Arial" w:cs="Arial"/>
          <w:color w:val="000000" w:themeColor="text1"/>
        </w:rPr>
        <w:t>JR/DRC</w:t>
      </w:r>
      <w:r w:rsidRPr="006C2748">
        <w:rPr>
          <w:rFonts w:ascii="Arial" w:hAnsi="Arial" w:cs="Arial"/>
          <w:color w:val="000000" w:themeColor="text1"/>
        </w:rPr>
        <w:t xml:space="preserve"> prepared the manuscript. </w:t>
      </w:r>
      <w:r w:rsidR="00A61D6D" w:rsidRPr="006C2748">
        <w:rPr>
          <w:rFonts w:ascii="Arial" w:hAnsi="Arial" w:cs="Arial"/>
          <w:color w:val="000000" w:themeColor="text1"/>
        </w:rPr>
        <w:t>All authors critically reviewed and approved the final version.</w:t>
      </w:r>
    </w:p>
    <w:p w14:paraId="07A9C642" w14:textId="77777777" w:rsidR="005B3477" w:rsidRPr="006C2748" w:rsidRDefault="005B3477" w:rsidP="007E0399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</w:p>
    <w:p w14:paraId="751C6380" w14:textId="66BF40A0" w:rsidR="004A515C" w:rsidRPr="006C2748" w:rsidRDefault="004A515C" w:rsidP="004A515C">
      <w:pPr>
        <w:spacing w:after="0" w:line="48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6C2748">
        <w:rPr>
          <w:rFonts w:ascii="Arial" w:hAnsi="Arial" w:cs="Arial"/>
          <w:b/>
          <w:bCs/>
          <w:color w:val="000000" w:themeColor="text1"/>
          <w:u w:val="single"/>
        </w:rPr>
        <w:t>F</w:t>
      </w:r>
      <w:r w:rsidR="008C0040">
        <w:rPr>
          <w:rFonts w:ascii="Arial" w:hAnsi="Arial" w:cs="Arial"/>
          <w:b/>
          <w:bCs/>
          <w:color w:val="000000" w:themeColor="text1"/>
          <w:u w:val="single"/>
        </w:rPr>
        <w:t>inancial Disclosure</w:t>
      </w:r>
    </w:p>
    <w:p w14:paraId="5D221EA8" w14:textId="55B959BE" w:rsidR="004A515C" w:rsidRPr="003E088E" w:rsidRDefault="004A515C" w:rsidP="004A515C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6C2748">
        <w:rPr>
          <w:rFonts w:ascii="Arial" w:hAnsi="Arial" w:cs="Arial"/>
          <w:color w:val="000000" w:themeColor="text1"/>
        </w:rPr>
        <w:t xml:space="preserve">The CHOIS study was supported by the </w:t>
      </w:r>
      <w:proofErr w:type="gramStart"/>
      <w:r w:rsidRPr="006C2748">
        <w:rPr>
          <w:rFonts w:ascii="Arial" w:hAnsi="Arial" w:cs="Arial"/>
          <w:color w:val="000000" w:themeColor="text1"/>
        </w:rPr>
        <w:t>North East</w:t>
      </w:r>
      <w:proofErr w:type="gramEnd"/>
      <w:r w:rsidRPr="006C2748">
        <w:rPr>
          <w:rFonts w:ascii="Arial" w:hAnsi="Arial" w:cs="Arial"/>
          <w:color w:val="000000" w:themeColor="text1"/>
        </w:rPr>
        <w:t xml:space="preserve"> and North Cumbria Academic Health Sciences Network (AHSN</w:t>
      </w:r>
      <w:r w:rsidR="00EB43FE">
        <w:rPr>
          <w:rFonts w:ascii="Arial" w:hAnsi="Arial" w:cs="Arial"/>
          <w:color w:val="000000" w:themeColor="text1"/>
        </w:rPr>
        <w:t>; fund awarded to co-author DRC</w:t>
      </w:r>
      <w:r w:rsidRPr="006C2748">
        <w:rPr>
          <w:rFonts w:ascii="Arial" w:hAnsi="Arial" w:cs="Arial"/>
          <w:color w:val="000000" w:themeColor="text1"/>
        </w:rPr>
        <w:t>)</w:t>
      </w:r>
      <w:r w:rsidR="00AF1B59">
        <w:rPr>
          <w:rFonts w:ascii="Arial" w:hAnsi="Arial" w:cs="Arial"/>
          <w:color w:val="000000" w:themeColor="text1"/>
        </w:rPr>
        <w:t>.</w:t>
      </w:r>
      <w:r w:rsidR="00EB43FE">
        <w:rPr>
          <w:rFonts w:ascii="Arial" w:hAnsi="Arial" w:cs="Arial"/>
          <w:color w:val="000000" w:themeColor="text1"/>
        </w:rPr>
        <w:t xml:space="preserve"> </w:t>
      </w:r>
      <w:r w:rsidR="00EB43FE" w:rsidRPr="00EB43FE">
        <w:rPr>
          <w:rFonts w:ascii="Arial" w:hAnsi="Arial" w:cs="Arial"/>
          <w:color w:val="000000" w:themeColor="text1"/>
        </w:rPr>
        <w:t>The funders had no role in study design, data collection and analysis, decision to publish, or preparation of the manuscript.</w:t>
      </w:r>
    </w:p>
    <w:p w14:paraId="00FF084C" w14:textId="77777777" w:rsidR="004A515C" w:rsidRPr="003E088E" w:rsidRDefault="004A515C" w:rsidP="004A515C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</w:p>
    <w:p w14:paraId="52EE0959" w14:textId="521F3708" w:rsidR="004A515C" w:rsidRPr="003E088E" w:rsidRDefault="008C0040" w:rsidP="004A515C">
      <w:pPr>
        <w:spacing w:after="0" w:line="48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Competing Interests</w:t>
      </w:r>
    </w:p>
    <w:p w14:paraId="6B1DC9A1" w14:textId="11399DB9" w:rsidR="004A515C" w:rsidRDefault="008C0040" w:rsidP="00A61D6D">
      <w:pPr>
        <w:spacing w:after="0" w:line="480" w:lineRule="auto"/>
        <w:rPr>
          <w:rFonts w:ascii="Arial" w:hAnsi="Arial" w:cs="Arial"/>
        </w:rPr>
      </w:pPr>
      <w:r w:rsidRPr="008C0040">
        <w:rPr>
          <w:rFonts w:ascii="Arial" w:hAnsi="Arial" w:cs="Arial"/>
        </w:rPr>
        <w:t>The authors have declared that no competing interests exist</w:t>
      </w:r>
      <w:r>
        <w:rPr>
          <w:rFonts w:ascii="Arial" w:hAnsi="Arial" w:cs="Arial"/>
        </w:rPr>
        <w:t xml:space="preserve">. </w:t>
      </w:r>
    </w:p>
    <w:p w14:paraId="6A64863D" w14:textId="77777777" w:rsidR="00F71A96" w:rsidRPr="003E088E" w:rsidRDefault="00F71A96" w:rsidP="00A61D6D">
      <w:pPr>
        <w:spacing w:after="0" w:line="480" w:lineRule="auto"/>
        <w:rPr>
          <w:rFonts w:ascii="Arial" w:hAnsi="Arial" w:cs="Arial"/>
        </w:rPr>
      </w:pPr>
    </w:p>
    <w:p w14:paraId="70CD1F05" w14:textId="77777777" w:rsidR="00A61D6D" w:rsidRPr="003E088E" w:rsidRDefault="00A61D6D" w:rsidP="00A61D6D">
      <w:pPr>
        <w:spacing w:after="0" w:line="480" w:lineRule="auto"/>
        <w:rPr>
          <w:rFonts w:ascii="Arial" w:hAnsi="Arial" w:cs="Arial"/>
          <w:b/>
          <w:bCs/>
          <w:u w:val="single"/>
        </w:rPr>
      </w:pPr>
      <w:r w:rsidRPr="003E088E">
        <w:rPr>
          <w:rFonts w:ascii="Arial" w:hAnsi="Arial" w:cs="Arial"/>
          <w:b/>
          <w:bCs/>
          <w:u w:val="single"/>
        </w:rPr>
        <w:t>Acknowledgements</w:t>
      </w:r>
    </w:p>
    <w:p w14:paraId="1954C165" w14:textId="4183E152" w:rsidR="00E90FEF" w:rsidRPr="003E088E" w:rsidRDefault="004916F6" w:rsidP="001212E8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3E088E">
        <w:rPr>
          <w:rFonts w:ascii="Arial" w:hAnsi="Arial" w:cs="Arial"/>
          <w:color w:val="000000" w:themeColor="text1"/>
        </w:rPr>
        <w:t>We would like to thank the CHOIS research team</w:t>
      </w:r>
      <w:r w:rsidR="0054747D" w:rsidRPr="003E088E">
        <w:rPr>
          <w:rFonts w:ascii="Arial" w:hAnsi="Arial" w:cs="Arial"/>
          <w:color w:val="000000" w:themeColor="text1"/>
        </w:rPr>
        <w:t xml:space="preserve">, John Rouse and the </w:t>
      </w:r>
      <w:proofErr w:type="gramStart"/>
      <w:r w:rsidR="0054747D" w:rsidRPr="003E088E">
        <w:rPr>
          <w:rFonts w:ascii="Arial" w:hAnsi="Arial" w:cs="Arial"/>
          <w:color w:val="000000" w:themeColor="text1"/>
        </w:rPr>
        <w:t>North East</w:t>
      </w:r>
      <w:proofErr w:type="gramEnd"/>
      <w:r w:rsidR="0054747D" w:rsidRPr="003E088E">
        <w:rPr>
          <w:rFonts w:ascii="Arial" w:hAnsi="Arial" w:cs="Arial"/>
          <w:color w:val="000000" w:themeColor="text1"/>
        </w:rPr>
        <w:t xml:space="preserve"> and North Cumbria NIHR for assistance with the survey. </w:t>
      </w:r>
    </w:p>
    <w:p w14:paraId="1EFDA4D1" w14:textId="2CC5E2F7" w:rsidR="001212E8" w:rsidRDefault="001212E8" w:rsidP="001212E8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</w:p>
    <w:p w14:paraId="3EA0DE9E" w14:textId="02AFFE52" w:rsidR="006A570D" w:rsidRPr="006A570D" w:rsidRDefault="006A570D" w:rsidP="001212E8">
      <w:pPr>
        <w:spacing w:after="0" w:line="48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6A570D">
        <w:rPr>
          <w:rFonts w:ascii="Arial" w:hAnsi="Arial" w:cs="Arial"/>
          <w:b/>
          <w:bCs/>
          <w:color w:val="000000" w:themeColor="text1"/>
          <w:u w:val="single"/>
        </w:rPr>
        <w:t>Data Availability</w:t>
      </w:r>
    </w:p>
    <w:p w14:paraId="34BC3C26" w14:textId="5D9E5A06" w:rsidR="006A570D" w:rsidRPr="003E088E" w:rsidRDefault="006A570D" w:rsidP="001212E8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data will be made available upon request. </w:t>
      </w:r>
    </w:p>
    <w:p w14:paraId="47F94A05" w14:textId="77777777" w:rsidR="0086163C" w:rsidRPr="00A3551A" w:rsidRDefault="0086163C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A3551A"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0DC1ECED" w14:textId="4BD510FB" w:rsidR="0005686E" w:rsidRPr="0005686E" w:rsidRDefault="006E68E5" w:rsidP="0005686E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u w:val="single"/>
          <w:lang w:val="de-DE"/>
        </w:rPr>
      </w:pPr>
      <w:r w:rsidRPr="003E088E">
        <w:rPr>
          <w:rFonts w:ascii="Arial" w:hAnsi="Arial" w:cs="Arial"/>
          <w:b/>
          <w:color w:val="000000" w:themeColor="text1"/>
          <w:u w:val="single"/>
          <w:lang w:val="de-DE"/>
        </w:rPr>
        <w:lastRenderedPageBreak/>
        <w:t>References</w:t>
      </w:r>
    </w:p>
    <w:p w14:paraId="47F006E5" w14:textId="42295D96" w:rsidR="00CF1942" w:rsidRPr="00CF1942" w:rsidRDefault="00CF1942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CF1942">
        <w:rPr>
          <w:rFonts w:ascii="Arial" w:hAnsi="Arial" w:cs="Arial"/>
          <w:color w:val="000000" w:themeColor="text1"/>
        </w:rPr>
        <w:t>Polack FP, Thomas SJ, Kitchin N,</w:t>
      </w:r>
      <w:r w:rsidR="007F4A27" w:rsidRPr="007F4A27">
        <w:t xml:space="preserve"> </w:t>
      </w:r>
      <w:r w:rsidR="007F4A27" w:rsidRPr="007F4A27">
        <w:rPr>
          <w:rFonts w:ascii="Arial" w:hAnsi="Arial" w:cs="Arial"/>
          <w:color w:val="000000" w:themeColor="text1"/>
        </w:rPr>
        <w:t>Absalon J, Gurtman A, Lockhart S</w:t>
      </w:r>
      <w:r w:rsidR="007F4A27">
        <w:rPr>
          <w:rFonts w:ascii="Arial" w:hAnsi="Arial" w:cs="Arial"/>
          <w:color w:val="000000" w:themeColor="text1"/>
        </w:rPr>
        <w:t>,</w:t>
      </w:r>
      <w:r w:rsidRPr="00CF1942">
        <w:rPr>
          <w:rFonts w:ascii="Arial" w:hAnsi="Arial" w:cs="Arial"/>
          <w:color w:val="000000" w:themeColor="text1"/>
        </w:rPr>
        <w:t xml:space="preserve"> et al. Safety and Efficacy of the BNT162b2 mRNA Covid-19 Vaccine. </w:t>
      </w:r>
      <w:r w:rsidRPr="00CF1942">
        <w:rPr>
          <w:rFonts w:ascii="Arial" w:hAnsi="Arial" w:cs="Arial"/>
          <w:i/>
          <w:iCs/>
          <w:color w:val="000000" w:themeColor="text1"/>
        </w:rPr>
        <w:t>N Engl J Med</w:t>
      </w:r>
      <w:r w:rsidRPr="00CF1942">
        <w:rPr>
          <w:rFonts w:ascii="Arial" w:hAnsi="Arial" w:cs="Arial"/>
          <w:color w:val="000000" w:themeColor="text1"/>
        </w:rPr>
        <w:t xml:space="preserve"> 2020; 28: 2603-3615. doi: https://doi.org/10.1056/NEJMoa2034577.</w:t>
      </w:r>
    </w:p>
    <w:p w14:paraId="5E45689D" w14:textId="37519957" w:rsidR="00CF1942" w:rsidRDefault="00CF1942" w:rsidP="00282EFC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A3551A">
        <w:rPr>
          <w:rFonts w:ascii="Arial" w:hAnsi="Arial" w:cs="Arial"/>
          <w:color w:val="000000" w:themeColor="text1"/>
          <w:lang w:val="de-DE"/>
        </w:rPr>
        <w:t>Baden LER, El Sahly HM, Essink B</w:t>
      </w:r>
      <w:r w:rsidR="007F4A27">
        <w:rPr>
          <w:rFonts w:ascii="Arial" w:hAnsi="Arial" w:cs="Arial"/>
          <w:color w:val="000000" w:themeColor="text1"/>
          <w:lang w:val="de-DE"/>
        </w:rPr>
        <w:t>,</w:t>
      </w:r>
      <w:r w:rsidRPr="00A3551A">
        <w:rPr>
          <w:rFonts w:ascii="Arial" w:hAnsi="Arial" w:cs="Arial"/>
          <w:color w:val="000000" w:themeColor="text1"/>
          <w:lang w:val="de-DE"/>
        </w:rPr>
        <w:t xml:space="preserve"> </w:t>
      </w:r>
      <w:r w:rsidR="007F4A27" w:rsidRPr="007F4A27">
        <w:rPr>
          <w:rFonts w:ascii="Arial" w:hAnsi="Arial" w:cs="Arial"/>
          <w:color w:val="000000" w:themeColor="text1"/>
          <w:lang w:val="de-DE"/>
        </w:rPr>
        <w:t>Kotloff K, Frey S, Novak R,</w:t>
      </w:r>
      <w:r w:rsidR="007F4A27">
        <w:rPr>
          <w:rFonts w:ascii="Arial" w:hAnsi="Arial" w:cs="Arial"/>
          <w:color w:val="000000" w:themeColor="text1"/>
          <w:lang w:val="de-DE"/>
        </w:rPr>
        <w:t xml:space="preserve"> </w:t>
      </w:r>
      <w:r w:rsidRPr="00A3551A">
        <w:rPr>
          <w:rFonts w:ascii="Arial" w:hAnsi="Arial" w:cs="Arial"/>
          <w:color w:val="000000" w:themeColor="text1"/>
          <w:lang w:val="de-DE"/>
        </w:rPr>
        <w:t xml:space="preserve">et al. </w:t>
      </w:r>
      <w:r w:rsidRPr="00CF1942">
        <w:rPr>
          <w:rFonts w:ascii="Arial" w:hAnsi="Arial" w:cs="Arial"/>
          <w:color w:val="000000" w:themeColor="text1"/>
        </w:rPr>
        <w:t xml:space="preserve">Efficacy and Safety of the mRNA-1273 SARS-CoV-2 Vaccine. </w:t>
      </w:r>
      <w:r w:rsidRPr="00CF1942">
        <w:rPr>
          <w:rFonts w:ascii="Arial" w:hAnsi="Arial" w:cs="Arial"/>
          <w:i/>
          <w:iCs/>
          <w:color w:val="000000" w:themeColor="text1"/>
        </w:rPr>
        <w:t>N Engl J Med</w:t>
      </w:r>
      <w:r w:rsidRPr="00CF1942">
        <w:rPr>
          <w:rFonts w:ascii="Arial" w:hAnsi="Arial" w:cs="Arial"/>
          <w:color w:val="000000" w:themeColor="text1"/>
        </w:rPr>
        <w:t>. 2021; 384 (5): 403-416.</w:t>
      </w:r>
      <w:r w:rsidRPr="00CF1942">
        <w:rPr>
          <w:color w:val="000000" w:themeColor="text1"/>
        </w:rPr>
        <w:t xml:space="preserve"> </w:t>
      </w:r>
      <w:r w:rsidRPr="00CF1942">
        <w:rPr>
          <w:rFonts w:ascii="Arial" w:hAnsi="Arial" w:cs="Arial"/>
          <w:color w:val="000000" w:themeColor="text1"/>
        </w:rPr>
        <w:t>doi: https://doi.org/10.1056/NEJMoa2035389.</w:t>
      </w:r>
    </w:p>
    <w:p w14:paraId="451F7221" w14:textId="1D9040D6" w:rsidR="002743C3" w:rsidRPr="002844A0" w:rsidRDefault="002743C3" w:rsidP="00282EFC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844A0">
        <w:rPr>
          <w:rFonts w:ascii="Arial" w:hAnsi="Arial" w:cs="Arial"/>
          <w:color w:val="000000" w:themeColor="text1"/>
        </w:rPr>
        <w:t>Voysey M, Clemens SAC, Madhi SA</w:t>
      </w:r>
      <w:r w:rsidR="007F4A27">
        <w:rPr>
          <w:rFonts w:ascii="Arial" w:hAnsi="Arial" w:cs="Arial"/>
          <w:color w:val="000000" w:themeColor="text1"/>
        </w:rPr>
        <w:t xml:space="preserve">, </w:t>
      </w:r>
      <w:r w:rsidR="007F4A27" w:rsidRPr="007F4A27">
        <w:rPr>
          <w:rFonts w:ascii="Arial" w:hAnsi="Arial" w:cs="Arial"/>
          <w:color w:val="000000" w:themeColor="text1"/>
        </w:rPr>
        <w:t>Weckx LY, Folegatti PM, Aley PK,</w:t>
      </w:r>
      <w:r w:rsidR="007F4A27">
        <w:rPr>
          <w:rFonts w:ascii="Arial" w:hAnsi="Arial" w:cs="Arial"/>
          <w:color w:val="000000" w:themeColor="text1"/>
        </w:rPr>
        <w:t xml:space="preserve"> </w:t>
      </w:r>
      <w:r w:rsidRPr="002844A0">
        <w:rPr>
          <w:rFonts w:ascii="Arial" w:hAnsi="Arial" w:cs="Arial"/>
          <w:color w:val="000000" w:themeColor="text1"/>
        </w:rPr>
        <w:t xml:space="preserve">et al. Safety and efficacy of the ChAdOx1 nCoV-19 vaccine (AZD1222) against SARS-CoV-2: an interim analysis of four randomised controlled trials in Brazil, South Africa, and the UK. </w:t>
      </w:r>
      <w:r w:rsidRPr="002844A0">
        <w:rPr>
          <w:rFonts w:ascii="Arial" w:hAnsi="Arial" w:cs="Arial"/>
          <w:i/>
          <w:iCs/>
          <w:color w:val="000000" w:themeColor="text1"/>
        </w:rPr>
        <w:t>Lancet.</w:t>
      </w:r>
      <w:r w:rsidRPr="002844A0">
        <w:rPr>
          <w:rFonts w:ascii="Arial" w:hAnsi="Arial" w:cs="Arial"/>
          <w:color w:val="000000" w:themeColor="text1"/>
        </w:rPr>
        <w:t xml:space="preserve"> 2021;397(10269):99-111. doi: https://doi.org/10.1016/S0140-6736(20)32661-1.</w:t>
      </w:r>
    </w:p>
    <w:p w14:paraId="27CB3EAE" w14:textId="15ADBC59" w:rsidR="00CF1942" w:rsidRPr="002844A0" w:rsidRDefault="00CF1942" w:rsidP="00282EFC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844A0">
        <w:rPr>
          <w:rFonts w:ascii="Arial" w:eastAsia="Times New Roman" w:hAnsi="Arial" w:cs="Arial"/>
          <w:color w:val="000000" w:themeColor="text1"/>
          <w:lang w:val="pt-BR" w:eastAsia="en-GB"/>
        </w:rPr>
        <w:t xml:space="preserve">Kadali RAK, Janagama R, Peruru S, Malayala SV. </w:t>
      </w:r>
      <w:r w:rsidRPr="002844A0">
        <w:rPr>
          <w:rFonts w:ascii="Arial" w:eastAsia="Times New Roman" w:hAnsi="Arial" w:cs="Arial"/>
          <w:color w:val="000000" w:themeColor="text1"/>
          <w:lang w:eastAsia="en-GB"/>
        </w:rPr>
        <w:t>Side effects of BNT162b2 mRNA COVID-19 vaccine: A randomized, cross-sectional study with detailed self-reported symptoms from healthcare workers</w:t>
      </w:r>
      <w:r w:rsidRPr="002844A0">
        <w:rPr>
          <w:rFonts w:ascii="Arial" w:eastAsia="Times New Roman" w:hAnsi="Arial" w:cs="Arial"/>
          <w:i/>
          <w:iCs/>
          <w:color w:val="000000" w:themeColor="text1"/>
          <w:lang w:eastAsia="en-GB"/>
        </w:rPr>
        <w:t>. Int J Infect Dis</w:t>
      </w:r>
      <w:r w:rsidRPr="002844A0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gramStart"/>
      <w:r w:rsidRPr="002844A0">
        <w:rPr>
          <w:rFonts w:ascii="Arial" w:eastAsia="Times New Roman" w:hAnsi="Arial" w:cs="Arial"/>
          <w:color w:val="000000" w:themeColor="text1"/>
          <w:lang w:eastAsia="en-GB"/>
        </w:rPr>
        <w:t>2021;106:376</w:t>
      </w:r>
      <w:proofErr w:type="gramEnd"/>
      <w:r w:rsidRPr="002844A0">
        <w:rPr>
          <w:rFonts w:ascii="Arial" w:eastAsia="Times New Roman" w:hAnsi="Arial" w:cs="Arial"/>
          <w:color w:val="000000" w:themeColor="text1"/>
          <w:lang w:eastAsia="en-GB"/>
        </w:rPr>
        <w:t xml:space="preserve">-381. doi: </w:t>
      </w:r>
      <w:r w:rsidRPr="002844A0">
        <w:rPr>
          <w:rFonts w:ascii="Arial" w:hAnsi="Arial" w:cs="Arial"/>
          <w:color w:val="000000" w:themeColor="text1"/>
        </w:rPr>
        <w:t>https://doi.org/10</w:t>
      </w:r>
      <w:r w:rsidRPr="002844A0">
        <w:rPr>
          <w:rFonts w:ascii="Arial" w:eastAsia="Times New Roman" w:hAnsi="Arial" w:cs="Arial"/>
          <w:color w:val="000000" w:themeColor="text1"/>
          <w:lang w:eastAsia="en-GB"/>
        </w:rPr>
        <w:t>.1016/j.ijid.2021.04.047.</w:t>
      </w:r>
    </w:p>
    <w:p w14:paraId="3AD27C66" w14:textId="55B5388E" w:rsidR="00373032" w:rsidRPr="00373032" w:rsidRDefault="00373032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373032">
        <w:rPr>
          <w:rFonts w:ascii="Arial" w:hAnsi="Arial" w:cs="Arial"/>
          <w:color w:val="000000" w:themeColor="text1"/>
        </w:rPr>
        <w:t>Krammer F, Srivastava K, Alshammary H</w:t>
      </w:r>
      <w:r w:rsidR="007F4A27">
        <w:rPr>
          <w:rFonts w:ascii="Arial" w:hAnsi="Arial" w:cs="Arial"/>
          <w:color w:val="000000" w:themeColor="text1"/>
        </w:rPr>
        <w:t xml:space="preserve">, </w:t>
      </w:r>
      <w:r w:rsidR="007F4A27" w:rsidRPr="007F4A27">
        <w:rPr>
          <w:rFonts w:ascii="Arial" w:hAnsi="Arial" w:cs="Arial"/>
          <w:color w:val="000000" w:themeColor="text1"/>
        </w:rPr>
        <w:t>Amoako AA, Awawda MH, Beach KF,</w:t>
      </w:r>
      <w:r w:rsidR="007F4A27">
        <w:rPr>
          <w:rFonts w:ascii="Arial" w:hAnsi="Arial" w:cs="Arial"/>
          <w:color w:val="000000" w:themeColor="text1"/>
        </w:rPr>
        <w:t xml:space="preserve"> </w:t>
      </w:r>
      <w:r w:rsidRPr="00373032">
        <w:rPr>
          <w:rFonts w:ascii="Arial" w:hAnsi="Arial" w:cs="Arial"/>
          <w:color w:val="000000" w:themeColor="text1"/>
        </w:rPr>
        <w:t xml:space="preserve">et al. Antibody Responses in Seropositive Persons after a Single Dose of SARS-CoV-2 mRNA Vaccine. </w:t>
      </w:r>
      <w:r w:rsidRPr="00373032">
        <w:rPr>
          <w:rFonts w:ascii="Arial" w:hAnsi="Arial" w:cs="Arial"/>
          <w:i/>
          <w:iCs/>
          <w:color w:val="000000" w:themeColor="text1"/>
        </w:rPr>
        <w:t>N Engl J Med</w:t>
      </w:r>
      <w:r w:rsidRPr="00373032">
        <w:rPr>
          <w:rFonts w:ascii="Arial" w:hAnsi="Arial" w:cs="Arial"/>
          <w:color w:val="000000" w:themeColor="text1"/>
        </w:rPr>
        <w:t>. 2021;384(14):1372-1374. doi: https://doi.org/10.1056/NEJMc2101667.</w:t>
      </w:r>
    </w:p>
    <w:p w14:paraId="2C74F0B5" w14:textId="6605FC45" w:rsidR="00373032" w:rsidRPr="00373032" w:rsidRDefault="00373032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A3551A">
        <w:rPr>
          <w:rFonts w:ascii="Arial" w:hAnsi="Arial" w:cs="Arial"/>
          <w:color w:val="000000" w:themeColor="text1"/>
          <w:lang w:val="pt-BR"/>
        </w:rPr>
        <w:t>Tré-Hardy M, Cupaiolo R, Papleux E</w:t>
      </w:r>
      <w:r w:rsidR="007F4A27">
        <w:rPr>
          <w:rFonts w:ascii="Arial" w:hAnsi="Arial" w:cs="Arial"/>
          <w:color w:val="000000" w:themeColor="text1"/>
          <w:lang w:val="pt-BR"/>
        </w:rPr>
        <w:t xml:space="preserve">, </w:t>
      </w:r>
      <w:r w:rsidR="007F4A27" w:rsidRPr="007F4A27">
        <w:rPr>
          <w:rFonts w:ascii="Arial" w:hAnsi="Arial" w:cs="Arial"/>
          <w:color w:val="000000" w:themeColor="text1"/>
          <w:lang w:val="pt-BR"/>
        </w:rPr>
        <w:t>Wilmet A, Horeanga A, Antoine-Moussiaux T,</w:t>
      </w:r>
      <w:r w:rsidRPr="00A3551A">
        <w:rPr>
          <w:rFonts w:ascii="Arial" w:hAnsi="Arial" w:cs="Arial"/>
          <w:color w:val="000000" w:themeColor="text1"/>
          <w:lang w:val="pt-BR"/>
        </w:rPr>
        <w:t xml:space="preserve"> et al. </w:t>
      </w:r>
      <w:r w:rsidRPr="00373032">
        <w:rPr>
          <w:rFonts w:ascii="Arial" w:hAnsi="Arial" w:cs="Arial"/>
          <w:color w:val="000000" w:themeColor="text1"/>
        </w:rPr>
        <w:t>Reactogenicity, safety and antibody response, after one and two doses of mRNA-1273 in seronegative and seropositive healthcare workers</w:t>
      </w:r>
      <w:r w:rsidRPr="00373032">
        <w:rPr>
          <w:rFonts w:ascii="Arial" w:hAnsi="Arial" w:cs="Arial"/>
          <w:i/>
          <w:iCs/>
          <w:color w:val="000000" w:themeColor="text1"/>
        </w:rPr>
        <w:t>. J Infect</w:t>
      </w:r>
      <w:r w:rsidRPr="00373032">
        <w:rPr>
          <w:rFonts w:ascii="Arial" w:hAnsi="Arial" w:cs="Arial"/>
          <w:color w:val="000000" w:themeColor="text1"/>
        </w:rPr>
        <w:t>. 2021; 83(2):237–79. doi: https://doi.org/10.1016/j.jinf.2021.03.025.</w:t>
      </w:r>
    </w:p>
    <w:p w14:paraId="1D4322C7" w14:textId="67BFC45B" w:rsidR="00373032" w:rsidRPr="00373032" w:rsidRDefault="00373032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color w:val="000000" w:themeColor="text1"/>
        </w:rPr>
      </w:pPr>
      <w:r w:rsidRPr="00A3551A">
        <w:rPr>
          <w:rFonts w:ascii="Arial" w:hAnsi="Arial" w:cs="Arial"/>
          <w:color w:val="000000" w:themeColor="text1"/>
          <w:lang w:val="de-DE"/>
        </w:rPr>
        <w:t>Ebinger JE, Fert-Bober J, Printsev I</w:t>
      </w:r>
      <w:r w:rsidR="007F4A27">
        <w:rPr>
          <w:rFonts w:ascii="Arial" w:hAnsi="Arial" w:cs="Arial"/>
          <w:color w:val="000000" w:themeColor="text1"/>
          <w:lang w:val="de-DE"/>
        </w:rPr>
        <w:t xml:space="preserve">, </w:t>
      </w:r>
      <w:r w:rsidR="007F4A27" w:rsidRPr="007F4A27">
        <w:rPr>
          <w:rFonts w:ascii="Arial" w:hAnsi="Arial" w:cs="Arial"/>
          <w:color w:val="000000" w:themeColor="text1"/>
          <w:lang w:val="de-DE"/>
        </w:rPr>
        <w:t>Wu M, Sun N, Prostko JC,</w:t>
      </w:r>
      <w:r w:rsidRPr="00A3551A">
        <w:rPr>
          <w:rFonts w:ascii="Arial" w:hAnsi="Arial" w:cs="Arial"/>
          <w:color w:val="000000" w:themeColor="text1"/>
          <w:lang w:val="de-DE"/>
        </w:rPr>
        <w:t xml:space="preserve"> et al. </w:t>
      </w:r>
      <w:r w:rsidRPr="00373032">
        <w:rPr>
          <w:rFonts w:ascii="Arial" w:hAnsi="Arial" w:cs="Arial"/>
          <w:color w:val="000000" w:themeColor="text1"/>
        </w:rPr>
        <w:t xml:space="preserve">Antibody responses to the BNT162b2 mRNA vaccine in individuals previously infected with SARS-CoV-2. </w:t>
      </w:r>
      <w:r w:rsidRPr="00373032">
        <w:rPr>
          <w:rFonts w:ascii="Arial" w:hAnsi="Arial" w:cs="Arial"/>
          <w:i/>
          <w:iCs/>
          <w:color w:val="000000" w:themeColor="text1"/>
        </w:rPr>
        <w:t>Nat Med</w:t>
      </w:r>
      <w:r w:rsidRPr="00373032">
        <w:rPr>
          <w:rFonts w:ascii="Arial" w:hAnsi="Arial" w:cs="Arial"/>
          <w:color w:val="000000" w:themeColor="text1"/>
        </w:rPr>
        <w:t>. 2021;27(6):981-984. doi: https://doi.org/10.1038/s41591-021-01325-6.</w:t>
      </w:r>
    </w:p>
    <w:p w14:paraId="11120C25" w14:textId="6B6DAF77" w:rsidR="007161C2" w:rsidRDefault="007161C2" w:rsidP="00282EFC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7161C2">
        <w:rPr>
          <w:rFonts w:ascii="Arial" w:hAnsi="Arial" w:cs="Arial"/>
          <w:color w:val="000000" w:themeColor="text1"/>
        </w:rPr>
        <w:lastRenderedPageBreak/>
        <w:t>Mathioudakis AG, Ghrew M, Ustianowski A</w:t>
      </w:r>
      <w:r w:rsidR="007F4A27">
        <w:rPr>
          <w:rFonts w:ascii="Arial" w:hAnsi="Arial" w:cs="Arial"/>
          <w:color w:val="000000" w:themeColor="text1"/>
        </w:rPr>
        <w:t>,</w:t>
      </w:r>
      <w:r w:rsidR="007F4A27" w:rsidRPr="007F4A27">
        <w:t xml:space="preserve"> </w:t>
      </w:r>
      <w:r w:rsidR="007F4A27" w:rsidRPr="007F4A27">
        <w:rPr>
          <w:rFonts w:ascii="Arial" w:hAnsi="Arial" w:cs="Arial"/>
          <w:color w:val="000000" w:themeColor="text1"/>
        </w:rPr>
        <w:t>Ustianowski A, Ahmad S, Borrow R,</w:t>
      </w:r>
      <w:r w:rsidRPr="007161C2">
        <w:rPr>
          <w:rFonts w:ascii="Arial" w:hAnsi="Arial" w:cs="Arial"/>
          <w:color w:val="000000" w:themeColor="text1"/>
        </w:rPr>
        <w:t xml:space="preserve"> et al. Self-Reported Real-World Safety and Reactogenicity of COVID-19 Vaccines: A Vaccine Recipient Survey. </w:t>
      </w:r>
      <w:r w:rsidRPr="007161C2">
        <w:rPr>
          <w:rFonts w:ascii="Arial" w:hAnsi="Arial" w:cs="Arial"/>
          <w:i/>
          <w:iCs/>
          <w:color w:val="000000" w:themeColor="text1"/>
        </w:rPr>
        <w:t>Life (Basel)</w:t>
      </w:r>
      <w:r w:rsidRPr="007161C2">
        <w:rPr>
          <w:rFonts w:ascii="Arial" w:hAnsi="Arial" w:cs="Arial"/>
          <w:color w:val="000000" w:themeColor="text1"/>
        </w:rPr>
        <w:t xml:space="preserve">. 2021;11(3):249. </w:t>
      </w:r>
      <w:r w:rsidR="008C0040" w:rsidRPr="00373032">
        <w:rPr>
          <w:rFonts w:ascii="Arial" w:hAnsi="Arial" w:cs="Arial"/>
          <w:color w:val="000000" w:themeColor="text1"/>
        </w:rPr>
        <w:t xml:space="preserve">doi: </w:t>
      </w:r>
      <w:r w:rsidRPr="007161C2">
        <w:rPr>
          <w:rFonts w:ascii="Arial" w:hAnsi="Arial" w:cs="Arial"/>
          <w:color w:val="000000" w:themeColor="text1"/>
        </w:rPr>
        <w:t xml:space="preserve">https://doi.org/10.3390/life11030249. </w:t>
      </w:r>
    </w:p>
    <w:p w14:paraId="29B5F475" w14:textId="55614E9F" w:rsidR="00CF1942" w:rsidRPr="00CF1942" w:rsidRDefault="00CF1942" w:rsidP="00282EFC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CF1942">
        <w:rPr>
          <w:rFonts w:ascii="Arial" w:hAnsi="Arial" w:cs="Arial"/>
          <w:color w:val="000000" w:themeColor="text1"/>
        </w:rPr>
        <w:t xml:space="preserve">Raw RK, Kelly CA, Rees J, Wroe C, Chadwick DR. Previous COVID-19 infection, but not Long-COVID, is associated with increased adverse events following BNT162b2/Pfizer vaccination. </w:t>
      </w:r>
      <w:r w:rsidRPr="00CF1942">
        <w:rPr>
          <w:rFonts w:ascii="Arial" w:hAnsi="Arial" w:cs="Arial"/>
          <w:i/>
          <w:iCs/>
          <w:color w:val="000000" w:themeColor="text1"/>
        </w:rPr>
        <w:t>J Infect</w:t>
      </w:r>
      <w:r w:rsidRPr="00CF1942">
        <w:rPr>
          <w:rFonts w:ascii="Arial" w:hAnsi="Arial" w:cs="Arial"/>
          <w:color w:val="000000" w:themeColor="text1"/>
        </w:rPr>
        <w:t xml:space="preserve">. </w:t>
      </w:r>
      <w:proofErr w:type="gramStart"/>
      <w:r w:rsidRPr="00CF1942">
        <w:rPr>
          <w:rFonts w:ascii="Arial" w:hAnsi="Arial" w:cs="Arial"/>
          <w:color w:val="000000" w:themeColor="text1"/>
        </w:rPr>
        <w:t>2021:S</w:t>
      </w:r>
      <w:proofErr w:type="gramEnd"/>
      <w:r w:rsidRPr="00CF1942">
        <w:rPr>
          <w:rFonts w:ascii="Arial" w:hAnsi="Arial" w:cs="Arial"/>
          <w:color w:val="000000" w:themeColor="text1"/>
        </w:rPr>
        <w:t>0163-4453(21)00277-2. doi: https://doi.org/10.1016/j.jinf.2021.05.035.</w:t>
      </w:r>
    </w:p>
    <w:p w14:paraId="6FACC374" w14:textId="1AAD72BA" w:rsidR="0005686E" w:rsidRDefault="00CF1942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bCs/>
          <w:color w:val="000000" w:themeColor="text1"/>
          <w:lang w:val="de-DE"/>
        </w:rPr>
      </w:pPr>
      <w:r w:rsidRPr="00A3551A">
        <w:rPr>
          <w:rFonts w:ascii="Arial" w:hAnsi="Arial" w:cs="Arial"/>
          <w:bCs/>
          <w:color w:val="000000" w:themeColor="text1"/>
        </w:rPr>
        <w:t xml:space="preserve">Raw RK, Rees J, Kelly CA, Wroe C, Chadwick DR. Prior COVID-19 infection is associated with increased Adverse Events (AEs) after the first, but not the second, dose of the BNT162b2/Pfizer vaccine. </w:t>
      </w:r>
      <w:r w:rsidRPr="00CF1942">
        <w:rPr>
          <w:rFonts w:ascii="Arial" w:hAnsi="Arial" w:cs="Arial"/>
          <w:bCs/>
          <w:i/>
          <w:iCs/>
          <w:color w:val="000000" w:themeColor="text1"/>
          <w:lang w:val="de-DE"/>
        </w:rPr>
        <w:t>Vaccin</w:t>
      </w:r>
      <w:r w:rsidRPr="00CF1942">
        <w:rPr>
          <w:rFonts w:ascii="Arial" w:hAnsi="Arial" w:cs="Arial"/>
          <w:bCs/>
          <w:color w:val="000000" w:themeColor="text1"/>
          <w:lang w:val="de-DE"/>
        </w:rPr>
        <w:t>e. 2022;</w:t>
      </w:r>
      <w:r w:rsidR="000F4630">
        <w:rPr>
          <w:rFonts w:ascii="Arial" w:hAnsi="Arial" w:cs="Arial"/>
          <w:bCs/>
          <w:color w:val="000000" w:themeColor="text1"/>
          <w:lang w:val="de-DE"/>
        </w:rPr>
        <w:t xml:space="preserve"> </w:t>
      </w:r>
      <w:r w:rsidRPr="00CF1942">
        <w:rPr>
          <w:rFonts w:ascii="Arial" w:hAnsi="Arial" w:cs="Arial"/>
          <w:bCs/>
          <w:color w:val="000000" w:themeColor="text1"/>
          <w:lang w:val="de-DE"/>
        </w:rPr>
        <w:t xml:space="preserve">40(3):418-423. doi: </w:t>
      </w:r>
      <w:r w:rsidRPr="00CF1942">
        <w:rPr>
          <w:rFonts w:ascii="Arial" w:hAnsi="Arial" w:cs="Arial"/>
          <w:bCs/>
          <w:color w:val="000000" w:themeColor="text1"/>
        </w:rPr>
        <w:t>https://doi.org/10.</w:t>
      </w:r>
      <w:r w:rsidRPr="00CF1942">
        <w:rPr>
          <w:rFonts w:ascii="Arial" w:hAnsi="Arial" w:cs="Arial"/>
          <w:bCs/>
          <w:color w:val="000000" w:themeColor="text1"/>
          <w:lang w:val="de-DE"/>
        </w:rPr>
        <w:t>1016/j.vaccine.2021.11.090.</w:t>
      </w:r>
    </w:p>
    <w:p w14:paraId="1D65D34F" w14:textId="567CB80D" w:rsidR="00EB61B1" w:rsidRPr="00A3551A" w:rsidRDefault="00CF1942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 w:rsidRPr="00CF1942">
        <w:rPr>
          <w:rFonts w:ascii="Arial" w:hAnsi="Arial" w:cs="Arial"/>
          <w:color w:val="000000" w:themeColor="text1"/>
        </w:rPr>
        <w:t>National Institute of Clinic Excellence (NICE), Scottish Intercollegiate Guidelines Network (SIGN), Royal College of General Practitioners (RCGP)</w:t>
      </w:r>
      <w:r>
        <w:rPr>
          <w:rFonts w:ascii="Arial" w:hAnsi="Arial" w:cs="Arial"/>
          <w:color w:val="000000" w:themeColor="text1"/>
        </w:rPr>
        <w:t>. 2021</w:t>
      </w:r>
      <w:r w:rsidRPr="00CF1942">
        <w:rPr>
          <w:rFonts w:ascii="Arial" w:hAnsi="Arial" w:cs="Arial"/>
          <w:color w:val="000000" w:themeColor="text1"/>
        </w:rPr>
        <w:t>. COVID-19 rapid guideline: managing the long-term effects of COVID-19. https://www.guidelines.co.uk/infection/nice-long-covid-guideline/455728.article</w:t>
      </w:r>
      <w:r>
        <w:rPr>
          <w:rFonts w:ascii="Arial" w:hAnsi="Arial" w:cs="Arial"/>
          <w:color w:val="000000" w:themeColor="text1"/>
        </w:rPr>
        <w:t xml:space="preserve"> (accessed </w:t>
      </w:r>
      <w:r w:rsidR="000F4630">
        <w:rPr>
          <w:rFonts w:ascii="Arial" w:hAnsi="Arial" w:cs="Arial"/>
          <w:bCs/>
          <w:color w:val="000000" w:themeColor="text1"/>
        </w:rPr>
        <w:t>25 July</w:t>
      </w:r>
      <w:r>
        <w:rPr>
          <w:rFonts w:ascii="Arial" w:hAnsi="Arial" w:cs="Arial"/>
          <w:color w:val="000000" w:themeColor="text1"/>
        </w:rPr>
        <w:t xml:space="preserve"> 2022)</w:t>
      </w:r>
      <w:r w:rsidRPr="00CF1942">
        <w:rPr>
          <w:rFonts w:ascii="Arial" w:hAnsi="Arial" w:cs="Arial"/>
          <w:color w:val="000000" w:themeColor="text1"/>
        </w:rPr>
        <w:t>.</w:t>
      </w:r>
    </w:p>
    <w:p w14:paraId="6053DD53" w14:textId="68BF5541" w:rsidR="001653F0" w:rsidRPr="00A3551A" w:rsidRDefault="006233D4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bCs/>
          <w:color w:val="000000" w:themeColor="text1"/>
        </w:rPr>
      </w:pPr>
      <w:r w:rsidRPr="00A3551A">
        <w:rPr>
          <w:rFonts w:ascii="Arial" w:hAnsi="Arial" w:cs="Arial"/>
          <w:bCs/>
          <w:color w:val="000000" w:themeColor="text1"/>
        </w:rPr>
        <w:t xml:space="preserve">United Kingdom Government. Coronavirus (COVID-19) in the UK: Vaccinations in United Kingdom., 2022. https://coronavirus.data.gov.uk/details/vaccinations (accessed </w:t>
      </w:r>
      <w:r w:rsidR="000F4630">
        <w:rPr>
          <w:rFonts w:ascii="Arial" w:hAnsi="Arial" w:cs="Arial"/>
          <w:bCs/>
          <w:color w:val="000000" w:themeColor="text1"/>
        </w:rPr>
        <w:t>25 July</w:t>
      </w:r>
      <w:r w:rsidRPr="00A3551A">
        <w:rPr>
          <w:rFonts w:ascii="Arial" w:hAnsi="Arial" w:cs="Arial"/>
          <w:bCs/>
          <w:color w:val="000000" w:themeColor="text1"/>
        </w:rPr>
        <w:t xml:space="preserve"> 2022). </w:t>
      </w:r>
    </w:p>
    <w:p w14:paraId="31709F6E" w14:textId="7E2CEAE6" w:rsidR="001653F0" w:rsidRPr="001653F0" w:rsidRDefault="00EB61B1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bCs/>
          <w:color w:val="000000" w:themeColor="text1"/>
          <w:lang w:val="de-DE"/>
        </w:rPr>
      </w:pPr>
      <w:r w:rsidRPr="00A3551A">
        <w:rPr>
          <w:rFonts w:ascii="Arial" w:hAnsi="Arial" w:cs="Arial"/>
          <w:color w:val="000000" w:themeColor="text1"/>
          <w:lang w:val="pt-BR"/>
        </w:rPr>
        <w:t>Toback S, Galiza E, Cosgrove C</w:t>
      </w:r>
      <w:r w:rsidR="007F4A27">
        <w:rPr>
          <w:rFonts w:ascii="Arial" w:hAnsi="Arial" w:cs="Arial"/>
          <w:color w:val="000000" w:themeColor="text1"/>
          <w:lang w:val="pt-BR"/>
        </w:rPr>
        <w:t>,</w:t>
      </w:r>
      <w:r w:rsidR="007F4A27" w:rsidRPr="007F4A27">
        <w:t xml:space="preserve"> </w:t>
      </w:r>
      <w:r w:rsidR="007F4A27" w:rsidRPr="007F4A27">
        <w:rPr>
          <w:rFonts w:ascii="Arial" w:hAnsi="Arial" w:cs="Arial"/>
          <w:color w:val="000000" w:themeColor="text1"/>
          <w:lang w:val="pt-BR"/>
        </w:rPr>
        <w:t>Galloway H, Goodman AL, Swift PA,</w:t>
      </w:r>
      <w:r w:rsidRPr="00A3551A">
        <w:rPr>
          <w:rFonts w:ascii="Arial" w:hAnsi="Arial" w:cs="Arial"/>
          <w:color w:val="000000" w:themeColor="text1"/>
          <w:lang w:val="pt-BR"/>
        </w:rPr>
        <w:t xml:space="preserve"> et al. </w:t>
      </w:r>
      <w:r w:rsidRPr="001653F0">
        <w:rPr>
          <w:rFonts w:ascii="Arial" w:hAnsi="Arial" w:cs="Arial"/>
          <w:color w:val="000000" w:themeColor="text1"/>
        </w:rPr>
        <w:t xml:space="preserve">CoV-302 Study Group. Safety, immunogenicity, and efficacy of a COVID-19 vaccine (NVX-CoV2373) co-administered with seasonal </w:t>
      </w:r>
      <w:r w:rsidR="00E95314">
        <w:rPr>
          <w:rFonts w:ascii="Arial" w:hAnsi="Arial" w:cs="Arial"/>
          <w:color w:val="000000" w:themeColor="text1"/>
        </w:rPr>
        <w:t>influenza</w:t>
      </w:r>
      <w:r w:rsidRPr="001653F0">
        <w:rPr>
          <w:rFonts w:ascii="Arial" w:hAnsi="Arial" w:cs="Arial"/>
          <w:color w:val="000000" w:themeColor="text1"/>
        </w:rPr>
        <w:t xml:space="preserve"> vaccines: an exploratory substudy of a randomised, observer-blinded, placebo-controlled, phase 3 trial</w:t>
      </w:r>
      <w:r w:rsidRPr="001653F0">
        <w:rPr>
          <w:rFonts w:ascii="Arial" w:hAnsi="Arial" w:cs="Arial"/>
          <w:i/>
          <w:iCs/>
          <w:color w:val="000000" w:themeColor="text1"/>
        </w:rPr>
        <w:t>. Lancet Respir Med</w:t>
      </w:r>
      <w:r w:rsidRPr="001653F0">
        <w:rPr>
          <w:rFonts w:ascii="Arial" w:hAnsi="Arial" w:cs="Arial"/>
          <w:color w:val="000000" w:themeColor="text1"/>
        </w:rPr>
        <w:t>. 2022;10(2):167-179. doi: https://doi.org/10.1016/S2213-2600(21)00409-4.</w:t>
      </w:r>
    </w:p>
    <w:p w14:paraId="661E92A6" w14:textId="0E495CD6" w:rsidR="00EB61B1" w:rsidRPr="00007BE6" w:rsidRDefault="00EB61B1" w:rsidP="00282EF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bCs/>
          <w:color w:val="000000" w:themeColor="text1"/>
          <w:lang w:val="de-DE"/>
        </w:rPr>
      </w:pPr>
      <w:r w:rsidRPr="00A3551A">
        <w:rPr>
          <w:rFonts w:ascii="Arial" w:hAnsi="Arial" w:cs="Arial"/>
          <w:color w:val="000000" w:themeColor="text1"/>
          <w:lang w:val="pt-BR"/>
        </w:rPr>
        <w:t>Lazarus R, Baos S, Cappel-Porter H</w:t>
      </w:r>
      <w:r w:rsidR="007F4A27">
        <w:rPr>
          <w:rFonts w:ascii="Arial" w:hAnsi="Arial" w:cs="Arial"/>
          <w:color w:val="000000" w:themeColor="text1"/>
          <w:lang w:val="pt-BR"/>
        </w:rPr>
        <w:t>,</w:t>
      </w:r>
      <w:r w:rsidR="007F4A27" w:rsidRPr="007F4A27">
        <w:t xml:space="preserve"> </w:t>
      </w:r>
      <w:r w:rsidR="007F4A27" w:rsidRPr="007F4A27">
        <w:rPr>
          <w:rFonts w:ascii="Arial" w:hAnsi="Arial" w:cs="Arial"/>
          <w:color w:val="000000" w:themeColor="text1"/>
          <w:lang w:val="pt-BR"/>
        </w:rPr>
        <w:t>Carson-Stevens A, Clout M, Culliford L,</w:t>
      </w:r>
      <w:r w:rsidRPr="00A3551A">
        <w:rPr>
          <w:rFonts w:ascii="Arial" w:hAnsi="Arial" w:cs="Arial"/>
          <w:color w:val="000000" w:themeColor="text1"/>
          <w:lang w:val="pt-BR"/>
        </w:rPr>
        <w:t xml:space="preserve"> et al. </w:t>
      </w:r>
      <w:r w:rsidRPr="001653F0">
        <w:rPr>
          <w:rFonts w:ascii="Arial" w:hAnsi="Arial" w:cs="Arial"/>
          <w:color w:val="000000" w:themeColor="text1"/>
        </w:rPr>
        <w:t xml:space="preserve">Safety and immunogenicity of concomitant administration of COVID-19 vaccines (ChAdOx1 or BNT162b2) with seasonal </w:t>
      </w:r>
      <w:r w:rsidR="00E95314">
        <w:rPr>
          <w:rFonts w:ascii="Arial" w:hAnsi="Arial" w:cs="Arial"/>
          <w:color w:val="000000" w:themeColor="text1"/>
        </w:rPr>
        <w:t>influenza</w:t>
      </w:r>
      <w:r w:rsidRPr="001653F0">
        <w:rPr>
          <w:rFonts w:ascii="Arial" w:hAnsi="Arial" w:cs="Arial"/>
          <w:color w:val="000000" w:themeColor="text1"/>
        </w:rPr>
        <w:t xml:space="preserve"> vaccines in adults in the UK </w:t>
      </w:r>
      <w:r w:rsidRPr="001653F0">
        <w:rPr>
          <w:rFonts w:ascii="Arial" w:hAnsi="Arial" w:cs="Arial"/>
          <w:color w:val="000000" w:themeColor="text1"/>
        </w:rPr>
        <w:lastRenderedPageBreak/>
        <w:t xml:space="preserve">(ComFluCOV): a multicentre, randomised, controlled, phase 4 trial. </w:t>
      </w:r>
      <w:r w:rsidRPr="001653F0">
        <w:rPr>
          <w:rFonts w:ascii="Arial" w:hAnsi="Arial" w:cs="Arial"/>
          <w:i/>
          <w:iCs/>
          <w:color w:val="000000" w:themeColor="text1"/>
        </w:rPr>
        <w:t>Lancet.</w:t>
      </w:r>
      <w:r w:rsidRPr="001653F0">
        <w:rPr>
          <w:rFonts w:ascii="Arial" w:hAnsi="Arial" w:cs="Arial"/>
          <w:color w:val="000000" w:themeColor="text1"/>
        </w:rPr>
        <w:t xml:space="preserve"> 2021;398(10318):2277-2287. doi: https://doi.org/10.1016/S0140-6736(21)02329-1.</w:t>
      </w:r>
    </w:p>
    <w:p w14:paraId="077D2C5A" w14:textId="2EA78DA9" w:rsidR="00007BE6" w:rsidRPr="00F71A96" w:rsidRDefault="00007BE6" w:rsidP="00282EFC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lang w:eastAsia="en-GB"/>
        </w:rPr>
      </w:pPr>
      <w:r w:rsidRPr="008B4619">
        <w:rPr>
          <w:rFonts w:ascii="Arial" w:hAnsi="Arial" w:cs="Arial"/>
          <w:color w:val="000000" w:themeColor="text1"/>
        </w:rPr>
        <w:t xml:space="preserve">Food and Drug Administration. Guidance for Industry Toxicity Grading Scale for Healthy Adult and Adolescent Volunteers Enrolled in Preventive Vaccine Clinical Trials. 2021. </w:t>
      </w:r>
      <w:r w:rsidR="008C0040" w:rsidRPr="00373032">
        <w:rPr>
          <w:rFonts w:ascii="Arial" w:hAnsi="Arial" w:cs="Arial"/>
          <w:color w:val="000000" w:themeColor="text1"/>
        </w:rPr>
        <w:t xml:space="preserve">doi: </w:t>
      </w:r>
      <w:r w:rsidRPr="008B4619">
        <w:rPr>
          <w:rFonts w:ascii="Arial" w:hAnsi="Arial" w:cs="Arial"/>
          <w:color w:val="000000" w:themeColor="text1"/>
        </w:rPr>
        <w:t xml:space="preserve">https://www.fda.gov/media/73679/download (accessed July 25, </w:t>
      </w:r>
      <w:r w:rsidR="000F4630" w:rsidRPr="008B4619">
        <w:rPr>
          <w:rFonts w:ascii="Arial" w:hAnsi="Arial" w:cs="Arial"/>
          <w:color w:val="000000" w:themeColor="text1"/>
        </w:rPr>
        <w:t>202</w:t>
      </w:r>
      <w:r w:rsidR="000F4630">
        <w:rPr>
          <w:rFonts w:ascii="Arial" w:hAnsi="Arial" w:cs="Arial"/>
          <w:color w:val="000000" w:themeColor="text1"/>
        </w:rPr>
        <w:t>2</w:t>
      </w:r>
      <w:r w:rsidRPr="008B461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</w:p>
    <w:p w14:paraId="6CF246D6" w14:textId="7E72781C" w:rsidR="00B853A3" w:rsidRPr="00C548DE" w:rsidRDefault="00B853A3" w:rsidP="00282EFC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lang w:eastAsia="en-GB"/>
        </w:rPr>
      </w:pPr>
      <w:r w:rsidRPr="00B853A3">
        <w:rPr>
          <w:rFonts w:ascii="Arial" w:eastAsia="Times New Roman" w:hAnsi="Arial" w:cs="Arial"/>
          <w:lang w:eastAsia="en-GB"/>
        </w:rPr>
        <w:t xml:space="preserve">JASP Team (2022). </w:t>
      </w:r>
      <w:r w:rsidRPr="00F71A96">
        <w:rPr>
          <w:rFonts w:ascii="Arial" w:eastAsia="Times New Roman" w:hAnsi="Arial" w:cs="Arial"/>
          <w:i/>
          <w:iCs/>
          <w:lang w:eastAsia="en-GB"/>
        </w:rPr>
        <w:t>JASP (Version 0.16.3)</w:t>
      </w:r>
      <w:r>
        <w:rPr>
          <w:rFonts w:ascii="Arial" w:eastAsia="Times New Roman" w:hAnsi="Arial" w:cs="Arial"/>
          <w:lang w:eastAsia="en-GB"/>
        </w:rPr>
        <w:t xml:space="preserve"> </w:t>
      </w:r>
      <w:r w:rsidRPr="00B853A3">
        <w:rPr>
          <w:rFonts w:ascii="Arial" w:eastAsia="Times New Roman" w:hAnsi="Arial" w:cs="Arial"/>
          <w:lang w:eastAsia="en-GB"/>
        </w:rPr>
        <w:t>[Computer software].</w:t>
      </w:r>
    </w:p>
    <w:p w14:paraId="4130DAC5" w14:textId="5B4DF209" w:rsidR="00C548DE" w:rsidRPr="007228AD" w:rsidRDefault="002E3FC4" w:rsidP="00282EFC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lang w:eastAsia="en-GB"/>
        </w:rPr>
      </w:pPr>
      <w:r w:rsidRPr="00282EFC">
        <w:rPr>
          <w:rFonts w:ascii="Arial" w:hAnsi="Arial" w:cs="Arial"/>
        </w:rPr>
        <w:t>Munro</w:t>
      </w:r>
      <w:r w:rsidR="00282EFC">
        <w:rPr>
          <w:rFonts w:ascii="Arial" w:hAnsi="Arial" w:cs="Arial"/>
        </w:rPr>
        <w:t xml:space="preserve"> </w:t>
      </w:r>
      <w:proofErr w:type="gramStart"/>
      <w:r w:rsidR="00282EFC">
        <w:rPr>
          <w:rFonts w:ascii="Arial" w:hAnsi="Arial" w:cs="Arial"/>
        </w:rPr>
        <w:t>APS</w:t>
      </w:r>
      <w:r w:rsidRPr="00282EFC">
        <w:rPr>
          <w:rFonts w:ascii="Arial" w:hAnsi="Arial" w:cs="Arial"/>
        </w:rPr>
        <w:t>,  Janani</w:t>
      </w:r>
      <w:proofErr w:type="gramEnd"/>
      <w:r w:rsidR="00282EFC">
        <w:rPr>
          <w:rFonts w:ascii="Arial" w:hAnsi="Arial" w:cs="Arial"/>
        </w:rPr>
        <w:t xml:space="preserve"> L,</w:t>
      </w:r>
      <w:r w:rsidRPr="00282EFC">
        <w:rPr>
          <w:rFonts w:ascii="Arial" w:hAnsi="Arial" w:cs="Arial"/>
        </w:rPr>
        <w:t xml:space="preserve"> Cornelius</w:t>
      </w:r>
      <w:r w:rsidR="00282EFC">
        <w:rPr>
          <w:rFonts w:ascii="Arial" w:hAnsi="Arial" w:cs="Arial"/>
        </w:rPr>
        <w:t xml:space="preserve"> V</w:t>
      </w:r>
      <w:r w:rsidRPr="002E3FC4">
        <w:rPr>
          <w:i/>
          <w:iCs/>
          <w:sz w:val="17"/>
          <w:szCs w:val="17"/>
        </w:rPr>
        <w:t xml:space="preserve"> </w:t>
      </w:r>
      <w:r w:rsidR="00C548DE" w:rsidRPr="002E3FC4">
        <w:rPr>
          <w:rFonts w:ascii="Arial" w:eastAsia="Times New Roman" w:hAnsi="Arial" w:cs="Arial"/>
          <w:lang w:eastAsia="en-GB"/>
        </w:rPr>
        <w:t xml:space="preserve">et al. </w:t>
      </w:r>
      <w:r w:rsidRPr="00282EFC">
        <w:rPr>
          <w:rFonts w:ascii="Arial" w:hAnsi="Arial" w:cs="Arial"/>
        </w:rPr>
        <w:t>Safety and immunogenicity of seven COVID-19 vaccines as a third dose (booster) following two doses of ChAdOx1 nCov-19 or BNT162b2 in the UK (COV-BOOST): a blinded, multicentre, randomised, controlled, phase 2 trial</w:t>
      </w:r>
      <w:r w:rsidR="00C548DE" w:rsidRPr="00282EFC">
        <w:rPr>
          <w:rFonts w:ascii="Arial" w:eastAsia="Times New Roman" w:hAnsi="Arial" w:cs="Arial"/>
          <w:lang w:eastAsia="en-GB"/>
        </w:rPr>
        <w:t xml:space="preserve">. </w:t>
      </w:r>
      <w:r w:rsidR="00C548DE" w:rsidRPr="00282EFC">
        <w:rPr>
          <w:rFonts w:ascii="Arial" w:eastAsia="Times New Roman" w:hAnsi="Arial" w:cs="Arial"/>
          <w:i/>
          <w:iCs/>
          <w:lang w:eastAsia="en-GB"/>
        </w:rPr>
        <w:t>Lancet.</w:t>
      </w:r>
      <w:r w:rsidR="00C548DE" w:rsidRPr="00282EFC">
        <w:rPr>
          <w:rFonts w:ascii="Arial" w:eastAsia="Times New Roman" w:hAnsi="Arial" w:cs="Arial"/>
          <w:lang w:eastAsia="en-GB"/>
        </w:rPr>
        <w:t xml:space="preserve"> </w:t>
      </w:r>
      <w:r w:rsidR="00150E0D" w:rsidRPr="00282EFC">
        <w:rPr>
          <w:rFonts w:ascii="Arial" w:hAnsi="Arial" w:cs="Arial"/>
        </w:rPr>
        <w:t>2021; 398: 2258–76</w:t>
      </w:r>
      <w:r w:rsidR="00282EFC" w:rsidRPr="00282EFC">
        <w:rPr>
          <w:rFonts w:ascii="Arial" w:hAnsi="Arial" w:cs="Arial"/>
        </w:rPr>
        <w:t xml:space="preserve">. </w:t>
      </w:r>
      <w:r w:rsidR="00282EFC" w:rsidRPr="00282EFC">
        <w:rPr>
          <w:rFonts w:ascii="Arial" w:eastAsia="Times New Roman" w:hAnsi="Arial" w:cs="Arial"/>
          <w:lang w:eastAsia="en-GB"/>
        </w:rPr>
        <w:t>doi:</w:t>
      </w:r>
      <w:r w:rsidR="00282EFC">
        <w:rPr>
          <w:rFonts w:ascii="Arial" w:eastAsia="Times New Roman" w:hAnsi="Arial" w:cs="Arial"/>
          <w:lang w:eastAsia="en-GB"/>
        </w:rPr>
        <w:t xml:space="preserve"> </w:t>
      </w:r>
      <w:r w:rsidR="00282EFC" w:rsidRPr="00282EFC">
        <w:rPr>
          <w:rFonts w:ascii="Arial" w:hAnsi="Arial" w:cs="Arial"/>
          <w:color w:val="000000" w:themeColor="text1"/>
        </w:rPr>
        <w:t>https://doi.org/</w:t>
      </w:r>
      <w:r w:rsidR="00282EFC" w:rsidRPr="00282EFC">
        <w:rPr>
          <w:rFonts w:ascii="Arial" w:hAnsi="Arial" w:cs="Arial"/>
        </w:rPr>
        <w:t>10.1016/S0140-6736(21)02717-3.</w:t>
      </w:r>
    </w:p>
    <w:p w14:paraId="5C7625AF" w14:textId="4F56AFB6" w:rsidR="004E13E0" w:rsidRPr="00E82661" w:rsidRDefault="004E13E0" w:rsidP="00282EFC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lang w:eastAsia="en-GB"/>
        </w:rPr>
      </w:pPr>
      <w:r w:rsidRPr="00DE6DB4">
        <w:rPr>
          <w:rFonts w:ascii="Arial" w:hAnsi="Arial" w:cs="Arial"/>
        </w:rPr>
        <w:t>Merav Mofaz, Matan Yechezkel, Grace Guan</w:t>
      </w:r>
      <w:r w:rsidR="007F4A27">
        <w:rPr>
          <w:rFonts w:ascii="Arial" w:hAnsi="Arial" w:cs="Arial"/>
        </w:rPr>
        <w:t xml:space="preserve">, </w:t>
      </w:r>
      <w:r w:rsidR="007F4A27" w:rsidRPr="007F4A27">
        <w:rPr>
          <w:rFonts w:ascii="Arial" w:hAnsi="Arial" w:cs="Arial"/>
        </w:rPr>
        <w:t>Aley PK, Babbage G, Baxter D</w:t>
      </w:r>
      <w:r w:rsidR="007F4A27">
        <w:rPr>
          <w:rFonts w:ascii="Arial" w:hAnsi="Arial" w:cs="Arial"/>
        </w:rPr>
        <w:t>,</w:t>
      </w:r>
      <w:r w:rsidRPr="00DE6DB4">
        <w:rPr>
          <w:rFonts w:ascii="Arial" w:hAnsi="Arial" w:cs="Arial"/>
        </w:rPr>
        <w:t xml:space="preserve"> et al. Self-Reported and Physiologic Reactions to Third BNT162b2 mRNA COVID-19 (Booster) Vaccine Dose</w:t>
      </w:r>
      <w:r>
        <w:rPr>
          <w:rFonts w:ascii="Arial" w:hAnsi="Arial" w:cs="Arial"/>
        </w:rPr>
        <w:t xml:space="preserve">. </w:t>
      </w:r>
      <w:r w:rsidRPr="00DE6DB4">
        <w:rPr>
          <w:rFonts w:ascii="Arial" w:hAnsi="Arial" w:cs="Arial"/>
          <w:i/>
          <w:iCs/>
        </w:rPr>
        <w:t>Emerg Infect Dis</w:t>
      </w:r>
      <w:r>
        <w:rPr>
          <w:rFonts w:ascii="Arial" w:hAnsi="Arial" w:cs="Arial"/>
        </w:rPr>
        <w:t>. 2022. 28(7): 1375-1383</w:t>
      </w:r>
      <w:r w:rsidR="00282EFC">
        <w:rPr>
          <w:rFonts w:ascii="Arial" w:hAnsi="Arial" w:cs="Arial"/>
        </w:rPr>
        <w:t>.</w:t>
      </w:r>
      <w:r w:rsidR="00282EFC" w:rsidRPr="00282EFC">
        <w:t xml:space="preserve"> </w:t>
      </w:r>
      <w:r w:rsidR="00282EFC" w:rsidRPr="00282EFC">
        <w:rPr>
          <w:rFonts w:ascii="Arial" w:eastAsia="Times New Roman" w:hAnsi="Arial" w:cs="Arial"/>
          <w:lang w:eastAsia="en-GB"/>
        </w:rPr>
        <w:t>doi:</w:t>
      </w:r>
      <w:r w:rsidR="00282EFC">
        <w:rPr>
          <w:rFonts w:ascii="Arial" w:eastAsia="Times New Roman" w:hAnsi="Arial" w:cs="Arial"/>
          <w:lang w:eastAsia="en-GB"/>
        </w:rPr>
        <w:t xml:space="preserve"> </w:t>
      </w:r>
      <w:r w:rsidR="00282EFC" w:rsidRPr="00282EFC">
        <w:rPr>
          <w:rFonts w:ascii="Arial" w:hAnsi="Arial" w:cs="Arial"/>
          <w:color w:val="000000" w:themeColor="text1"/>
        </w:rPr>
        <w:t>https://doi.org/</w:t>
      </w:r>
      <w:r w:rsidR="00282EFC" w:rsidRPr="00282EFC">
        <w:rPr>
          <w:rFonts w:ascii="Arial" w:hAnsi="Arial" w:cs="Arial"/>
        </w:rPr>
        <w:t>10.3201/eid2807.212330.</w:t>
      </w:r>
    </w:p>
    <w:p w14:paraId="028C1D5A" w14:textId="77777777" w:rsidR="002844A0" w:rsidRDefault="002844A0" w:rsidP="00282EFC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Machingaidze S, Wiysonge CS. Understanding COVID-19 vaccine hesitancy</w:t>
      </w:r>
      <w:r>
        <w:rPr>
          <w:rFonts w:ascii="Arial" w:eastAsia="Times New Roman" w:hAnsi="Arial" w:cs="Arial"/>
          <w:i/>
          <w:iCs/>
          <w:lang w:eastAsia="en-GB"/>
        </w:rPr>
        <w:t>. Nat Med</w:t>
      </w:r>
      <w:r>
        <w:rPr>
          <w:rFonts w:ascii="Arial" w:eastAsia="Times New Roman" w:hAnsi="Arial" w:cs="Arial"/>
          <w:lang w:eastAsia="en-GB"/>
        </w:rPr>
        <w:t>. 2021. doi: https://doi.org/10.1038/s41591-021-01459-7.</w:t>
      </w:r>
    </w:p>
    <w:p w14:paraId="544EC1A3" w14:textId="7968C2FA" w:rsidR="002844A0" w:rsidRDefault="002844A0" w:rsidP="00282EFC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de-DE" w:eastAsia="en-GB"/>
        </w:rPr>
        <w:t>Robertson E, Reeve KS, Niedzwiedz CL</w:t>
      </w:r>
      <w:r w:rsidR="007F4A27">
        <w:rPr>
          <w:rFonts w:ascii="Arial" w:eastAsia="Times New Roman" w:hAnsi="Arial" w:cs="Arial"/>
          <w:lang w:val="de-DE" w:eastAsia="en-GB"/>
        </w:rPr>
        <w:t>,</w:t>
      </w:r>
      <w:r w:rsidR="007F4A27" w:rsidRPr="007F4A27">
        <w:t xml:space="preserve"> </w:t>
      </w:r>
      <w:r w:rsidR="007F4A27" w:rsidRPr="007F4A27">
        <w:rPr>
          <w:rFonts w:ascii="Arial" w:eastAsia="Times New Roman" w:hAnsi="Arial" w:cs="Arial"/>
          <w:lang w:val="de-DE" w:eastAsia="en-GB"/>
        </w:rPr>
        <w:t>Moor J, Blake M, Green M</w:t>
      </w:r>
      <w:r w:rsidR="007F4A27">
        <w:rPr>
          <w:rFonts w:ascii="Arial" w:eastAsia="Times New Roman" w:hAnsi="Arial" w:cs="Arial"/>
          <w:lang w:val="de-DE" w:eastAsia="en-GB"/>
        </w:rPr>
        <w:t>,</w:t>
      </w:r>
      <w:r>
        <w:rPr>
          <w:rFonts w:ascii="Arial" w:eastAsia="Times New Roman" w:hAnsi="Arial" w:cs="Arial"/>
          <w:lang w:val="de-DE" w:eastAsia="en-GB"/>
        </w:rPr>
        <w:t xml:space="preserve"> et al. </w:t>
      </w:r>
      <w:r>
        <w:rPr>
          <w:rFonts w:ascii="Arial" w:eastAsia="Times New Roman" w:hAnsi="Arial" w:cs="Arial"/>
          <w:lang w:eastAsia="en-GB"/>
        </w:rPr>
        <w:t xml:space="preserve">Predictors of COVID-19 vaccine hesitancy in the UK household longitudinal study. </w:t>
      </w:r>
      <w:r>
        <w:rPr>
          <w:rFonts w:ascii="Arial" w:eastAsia="Times New Roman" w:hAnsi="Arial" w:cs="Arial"/>
          <w:i/>
          <w:iCs/>
          <w:lang w:eastAsia="en-GB"/>
        </w:rPr>
        <w:t>Brain Behav Immun</w:t>
      </w:r>
      <w:r>
        <w:rPr>
          <w:rFonts w:ascii="Arial" w:eastAsia="Times New Roman" w:hAnsi="Arial" w:cs="Arial"/>
          <w:lang w:eastAsia="en-GB"/>
        </w:rPr>
        <w:t xml:space="preserve">. </w:t>
      </w:r>
      <w:proofErr w:type="gramStart"/>
      <w:r>
        <w:rPr>
          <w:rFonts w:ascii="Arial" w:eastAsia="Times New Roman" w:hAnsi="Arial" w:cs="Arial"/>
          <w:lang w:eastAsia="en-GB"/>
        </w:rPr>
        <w:t>2021;94:41</w:t>
      </w:r>
      <w:proofErr w:type="gramEnd"/>
      <w:r>
        <w:rPr>
          <w:rFonts w:ascii="Arial" w:eastAsia="Times New Roman" w:hAnsi="Arial" w:cs="Arial"/>
          <w:lang w:eastAsia="en-GB"/>
        </w:rPr>
        <w:t xml:space="preserve">-50. doi: </w:t>
      </w:r>
      <w:r>
        <w:rPr>
          <w:rFonts w:ascii="Arial" w:hAnsi="Arial" w:cs="Arial"/>
          <w:color w:val="000000" w:themeColor="text1"/>
        </w:rPr>
        <w:t>https://doi.org/10</w:t>
      </w:r>
      <w:r>
        <w:rPr>
          <w:rFonts w:ascii="Arial" w:eastAsia="Times New Roman" w:hAnsi="Arial" w:cs="Arial"/>
          <w:lang w:eastAsia="en-GB"/>
        </w:rPr>
        <w:t xml:space="preserve">.1016/j.bbi.2021.03.008. </w:t>
      </w:r>
    </w:p>
    <w:p w14:paraId="02F458B1" w14:textId="77777777" w:rsidR="0086163C" w:rsidRPr="0086163C" w:rsidRDefault="0086163C" w:rsidP="0086163C">
      <w:pPr>
        <w:spacing w:before="100" w:beforeAutospacing="1" w:after="100" w:afterAutospacing="1" w:line="48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26790BD8" w14:textId="77777777" w:rsidR="00007BE6" w:rsidRPr="00007BE6" w:rsidRDefault="00007BE6" w:rsidP="00007BE6">
      <w:pPr>
        <w:spacing w:after="0" w:line="480" w:lineRule="auto"/>
        <w:jc w:val="both"/>
        <w:rPr>
          <w:rFonts w:ascii="Arial" w:hAnsi="Arial" w:cs="Arial"/>
          <w:bCs/>
          <w:color w:val="000000" w:themeColor="text1"/>
          <w:lang w:val="de-DE"/>
        </w:rPr>
      </w:pPr>
    </w:p>
    <w:p w14:paraId="67449222" w14:textId="0536D804" w:rsidR="009C5575" w:rsidRPr="00EB61B1" w:rsidRDefault="009C5575" w:rsidP="00007BE6">
      <w:pPr>
        <w:pStyle w:val="ListParagraph"/>
        <w:spacing w:after="0" w:line="480" w:lineRule="auto"/>
        <w:jc w:val="both"/>
        <w:rPr>
          <w:rFonts w:ascii="Arial" w:hAnsi="Arial" w:cs="Arial"/>
          <w:color w:val="FF0000"/>
        </w:rPr>
      </w:pPr>
    </w:p>
    <w:p w14:paraId="7EF72CC4" w14:textId="77777777" w:rsidR="009232DF" w:rsidRDefault="009232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51CCD91" w14:textId="71C71ED8" w:rsidR="0086163C" w:rsidRDefault="008616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CDA1BFC" w14:textId="176F37AF" w:rsidR="00DE52D1" w:rsidRDefault="00893FA8" w:rsidP="00114008">
      <w:pPr>
        <w:tabs>
          <w:tab w:val="left" w:pos="3652"/>
        </w:tabs>
        <w:rPr>
          <w:rFonts w:ascii="Arial" w:hAnsi="Arial" w:cs="Arial"/>
          <w:b/>
          <w:sz w:val="24"/>
          <w:szCs w:val="24"/>
          <w:u w:val="single"/>
        </w:rPr>
      </w:pPr>
      <w:r w:rsidRPr="008415DB">
        <w:rPr>
          <w:rFonts w:ascii="Arial" w:hAnsi="Arial" w:cs="Arial"/>
          <w:b/>
          <w:sz w:val="24"/>
          <w:szCs w:val="24"/>
          <w:u w:val="single"/>
        </w:rPr>
        <w:lastRenderedPageBreak/>
        <w:t>Figure</w:t>
      </w:r>
      <w:r w:rsidR="00F47AAD">
        <w:rPr>
          <w:rFonts w:ascii="Arial" w:hAnsi="Arial" w:cs="Arial"/>
          <w:b/>
          <w:sz w:val="24"/>
          <w:szCs w:val="24"/>
          <w:u w:val="single"/>
        </w:rPr>
        <w:t>s</w:t>
      </w:r>
      <w:r w:rsidRPr="008415DB">
        <w:rPr>
          <w:rFonts w:ascii="Arial" w:hAnsi="Arial" w:cs="Arial"/>
          <w:b/>
          <w:sz w:val="24"/>
          <w:szCs w:val="24"/>
          <w:u w:val="single"/>
        </w:rPr>
        <w:t xml:space="preserve"> and Caption</w:t>
      </w:r>
      <w:r w:rsidR="00F47AAD">
        <w:rPr>
          <w:rFonts w:ascii="Arial" w:hAnsi="Arial" w:cs="Arial"/>
          <w:b/>
          <w:sz w:val="24"/>
          <w:szCs w:val="24"/>
          <w:u w:val="single"/>
        </w:rPr>
        <w:t>s</w:t>
      </w:r>
    </w:p>
    <w:p w14:paraId="20B80007" w14:textId="77777777" w:rsidR="00A1216B" w:rsidRPr="00114008" w:rsidRDefault="00A1216B" w:rsidP="00114008">
      <w:pPr>
        <w:tabs>
          <w:tab w:val="left" w:pos="3652"/>
        </w:tabs>
        <w:rPr>
          <w:rFonts w:ascii="Arial" w:hAnsi="Arial" w:cs="Arial"/>
          <w:b/>
          <w:sz w:val="24"/>
          <w:szCs w:val="24"/>
        </w:rPr>
      </w:pPr>
    </w:p>
    <w:p w14:paraId="6A4E475E" w14:textId="41965653" w:rsidR="002A40EA" w:rsidRDefault="006441CB" w:rsidP="00282EFC">
      <w:pPr>
        <w:spacing w:before="100" w:beforeAutospacing="1" w:after="100" w:afterAutospacing="1" w:line="480" w:lineRule="auto"/>
        <w:jc w:val="both"/>
        <w:rPr>
          <w:rFonts w:ascii="Arial" w:hAnsi="Arial" w:cs="Arial"/>
          <w:bCs/>
          <w:iCs/>
        </w:rPr>
      </w:pPr>
      <w:r w:rsidRPr="006441CB">
        <w:rPr>
          <w:noProof/>
        </w:rPr>
        <w:t xml:space="preserve"> </w:t>
      </w:r>
      <w:r w:rsidR="00A427A0" w:rsidRPr="007819FF">
        <w:rPr>
          <w:rFonts w:ascii="Arial" w:hAnsi="Arial" w:cs="Arial"/>
          <w:b/>
        </w:rPr>
        <w:t>Fig 1</w:t>
      </w:r>
      <w:r w:rsidR="00A427A0" w:rsidRPr="00E775FF">
        <w:rPr>
          <w:rFonts w:ascii="Arial" w:hAnsi="Arial" w:cs="Arial"/>
          <w:b/>
          <w:bCs/>
          <w:i/>
          <w:iCs/>
        </w:rPr>
        <w:t>.</w:t>
      </w:r>
      <w:r w:rsidR="00114008">
        <w:t xml:space="preserve"> </w:t>
      </w:r>
      <w:r w:rsidR="00E81462">
        <w:rPr>
          <w:rFonts w:ascii="Arial" w:hAnsi="Arial" w:cs="Arial"/>
          <w:b/>
          <w:bCs/>
          <w:i/>
          <w:iCs/>
        </w:rPr>
        <w:t>Frequency of AEs by Vaccine Type</w:t>
      </w:r>
      <w:r>
        <w:rPr>
          <w:rFonts w:ascii="Arial" w:hAnsi="Arial" w:cs="Arial"/>
          <w:b/>
          <w:bCs/>
          <w:i/>
          <w:iCs/>
        </w:rPr>
        <w:t>,</w:t>
      </w:r>
      <w:r w:rsidR="00E81462">
        <w:rPr>
          <w:rFonts w:ascii="Arial" w:hAnsi="Arial" w:cs="Arial"/>
          <w:b/>
          <w:bCs/>
          <w:i/>
          <w:iCs/>
        </w:rPr>
        <w:t xml:space="preserve"> Prior </w:t>
      </w:r>
      <w:r w:rsidR="00E81462" w:rsidRPr="00E775FF">
        <w:rPr>
          <w:rFonts w:ascii="Arial" w:hAnsi="Arial" w:cs="Arial"/>
          <w:b/>
          <w:bCs/>
          <w:i/>
          <w:iCs/>
        </w:rPr>
        <w:t>COVID-19 Status</w:t>
      </w:r>
      <w:r>
        <w:rPr>
          <w:rFonts w:ascii="Arial" w:hAnsi="Arial" w:cs="Arial"/>
          <w:b/>
          <w:bCs/>
          <w:i/>
          <w:iCs/>
        </w:rPr>
        <w:t xml:space="preserve"> and Interval Between Doses.</w:t>
      </w:r>
      <w:r>
        <w:rPr>
          <w:rFonts w:ascii="Arial" w:hAnsi="Arial" w:cs="Arial"/>
          <w:i/>
          <w:iCs/>
        </w:rPr>
        <w:t xml:space="preserve"> </w:t>
      </w:r>
      <w:r w:rsidRPr="00282EFC">
        <w:rPr>
          <w:rFonts w:ascii="Arial" w:hAnsi="Arial" w:cs="Arial"/>
          <w:b/>
          <w:bCs/>
        </w:rPr>
        <w:t>A.</w:t>
      </w:r>
      <w:r w:rsidR="00E81462" w:rsidRPr="007819FF">
        <w:rPr>
          <w:rFonts w:ascii="Arial" w:hAnsi="Arial" w:cs="Arial"/>
          <w:i/>
          <w:iCs/>
        </w:rPr>
        <w:t xml:space="preserve"> </w:t>
      </w:r>
      <w:r w:rsidR="00E81462">
        <w:rPr>
          <w:rFonts w:ascii="Arial" w:hAnsi="Arial" w:cs="Arial"/>
        </w:rPr>
        <w:t xml:space="preserve">Number of AEs </w:t>
      </w:r>
      <w:r w:rsidR="00E81462">
        <w:rPr>
          <w:rFonts w:ascii="Arial" w:hAnsi="Arial" w:cs="Arial"/>
          <w:bCs/>
          <w:iCs/>
        </w:rPr>
        <w:t xml:space="preserve">according to previous COVID-19 </w:t>
      </w:r>
      <w:r>
        <w:rPr>
          <w:rFonts w:ascii="Arial" w:hAnsi="Arial" w:cs="Arial"/>
          <w:bCs/>
          <w:iCs/>
        </w:rPr>
        <w:t>history</w:t>
      </w:r>
      <w:r w:rsidR="00E81462">
        <w:rPr>
          <w:rFonts w:ascii="Arial" w:hAnsi="Arial" w:cs="Arial"/>
          <w:bCs/>
          <w:iCs/>
        </w:rPr>
        <w:t xml:space="preserve">, for all three </w:t>
      </w:r>
      <w:r w:rsidR="00E81462" w:rsidRPr="00CF1942">
        <w:rPr>
          <w:rFonts w:ascii="Arial" w:hAnsi="Arial" w:cs="Arial"/>
          <w:color w:val="000000" w:themeColor="text1"/>
        </w:rPr>
        <w:t>BNT162b2/Pfizer</w:t>
      </w:r>
      <w:r w:rsidR="00E81462">
        <w:rPr>
          <w:rFonts w:ascii="Arial" w:hAnsi="Arial" w:cs="Arial"/>
          <w:color w:val="000000" w:themeColor="text1"/>
        </w:rPr>
        <w:t xml:space="preserve"> doses</w:t>
      </w:r>
      <w:r w:rsidR="00503B5C">
        <w:rPr>
          <w:rFonts w:ascii="Arial" w:hAnsi="Arial" w:cs="Arial"/>
          <w:color w:val="000000" w:themeColor="text1"/>
        </w:rPr>
        <w:t xml:space="preserve">. </w:t>
      </w:r>
      <w:r w:rsidR="00503B5C">
        <w:rPr>
          <w:rFonts w:ascii="Arial" w:hAnsi="Arial" w:cs="Arial"/>
          <w:b/>
          <w:bCs/>
        </w:rPr>
        <w:t>B</w:t>
      </w:r>
      <w:r w:rsidR="00503B5C" w:rsidRPr="00DE6DB4">
        <w:rPr>
          <w:rFonts w:ascii="Arial" w:hAnsi="Arial" w:cs="Arial"/>
          <w:b/>
          <w:bCs/>
        </w:rPr>
        <w:t>.</w:t>
      </w:r>
      <w:r w:rsidR="00503B5C" w:rsidRPr="007819FF">
        <w:rPr>
          <w:rFonts w:ascii="Arial" w:hAnsi="Arial" w:cs="Arial"/>
          <w:i/>
          <w:iCs/>
        </w:rPr>
        <w:t xml:space="preserve"> </w:t>
      </w:r>
      <w:r w:rsidR="00503B5C">
        <w:rPr>
          <w:rFonts w:ascii="Arial" w:hAnsi="Arial" w:cs="Arial"/>
        </w:rPr>
        <w:t xml:space="preserve">Number of AEs </w:t>
      </w:r>
      <w:r w:rsidR="00503B5C">
        <w:rPr>
          <w:rFonts w:ascii="Arial" w:hAnsi="Arial" w:cs="Arial"/>
          <w:bCs/>
          <w:iCs/>
        </w:rPr>
        <w:t>according to previous COVID-19 history</w:t>
      </w:r>
      <w:r w:rsidR="00E81462">
        <w:rPr>
          <w:rFonts w:ascii="Arial" w:hAnsi="Arial" w:cs="Arial"/>
          <w:color w:val="000000" w:themeColor="text1"/>
        </w:rPr>
        <w:t xml:space="preserve"> </w:t>
      </w:r>
      <w:r w:rsidR="00503B5C">
        <w:rPr>
          <w:rFonts w:ascii="Arial" w:hAnsi="Arial" w:cs="Arial"/>
          <w:color w:val="000000" w:themeColor="text1"/>
        </w:rPr>
        <w:t xml:space="preserve">for </w:t>
      </w:r>
      <w:r w:rsidR="00282EFC" w:rsidRPr="00F14095">
        <w:rPr>
          <w:rFonts w:ascii="Arial" w:hAnsi="Arial" w:cs="Arial"/>
          <w:bCs/>
          <w:color w:val="000000"/>
        </w:rPr>
        <w:t>BNT162b2/Pfizer third/booster dose</w:t>
      </w:r>
      <w:r w:rsidR="00503B5C">
        <w:rPr>
          <w:rFonts w:ascii="Arial" w:hAnsi="Arial" w:cs="Arial"/>
          <w:color w:val="000000" w:themeColor="text1"/>
        </w:rPr>
        <w:t xml:space="preserve"> </w:t>
      </w:r>
      <w:r w:rsidR="00E81462">
        <w:rPr>
          <w:rFonts w:ascii="Arial" w:hAnsi="Arial" w:cs="Arial"/>
          <w:color w:val="000000" w:themeColor="text1"/>
        </w:rPr>
        <w:t xml:space="preserve">and the seasonal </w:t>
      </w:r>
      <w:r w:rsidR="000E22B7">
        <w:rPr>
          <w:rFonts w:ascii="Arial" w:hAnsi="Arial" w:cs="Arial"/>
          <w:color w:val="000000" w:themeColor="text1"/>
        </w:rPr>
        <w:t xml:space="preserve">influenza </w:t>
      </w:r>
      <w:r w:rsidR="00E81462">
        <w:rPr>
          <w:rFonts w:ascii="Arial" w:hAnsi="Arial" w:cs="Arial"/>
          <w:color w:val="000000" w:themeColor="text1"/>
        </w:rPr>
        <w:t xml:space="preserve">vaccine. </w:t>
      </w:r>
      <w:r w:rsidR="00503B5C">
        <w:rPr>
          <w:rFonts w:ascii="Arial" w:hAnsi="Arial" w:cs="Arial"/>
          <w:b/>
          <w:bCs/>
        </w:rPr>
        <w:t>C</w:t>
      </w:r>
      <w:r w:rsidR="00503B5C" w:rsidRPr="00DE6DB4">
        <w:rPr>
          <w:rFonts w:ascii="Arial" w:hAnsi="Arial" w:cs="Arial"/>
          <w:b/>
          <w:bCs/>
        </w:rPr>
        <w:t>.</w:t>
      </w:r>
      <w:r w:rsidR="00503B5C" w:rsidRPr="007819FF">
        <w:rPr>
          <w:rFonts w:ascii="Arial" w:hAnsi="Arial" w:cs="Arial"/>
          <w:i/>
          <w:iCs/>
        </w:rPr>
        <w:t xml:space="preserve"> </w:t>
      </w:r>
      <w:r w:rsidR="00503B5C">
        <w:rPr>
          <w:rFonts w:ascii="Arial" w:hAnsi="Arial" w:cs="Arial"/>
        </w:rPr>
        <w:t xml:space="preserve">Number of AEs </w:t>
      </w:r>
      <w:r w:rsidR="00503B5C">
        <w:rPr>
          <w:rFonts w:ascii="Arial" w:hAnsi="Arial" w:cs="Arial"/>
          <w:bCs/>
          <w:iCs/>
        </w:rPr>
        <w:t xml:space="preserve">according associated with the </w:t>
      </w:r>
      <w:r w:rsidR="000E22B7">
        <w:rPr>
          <w:rFonts w:ascii="Arial" w:hAnsi="Arial" w:cs="Arial"/>
          <w:bCs/>
          <w:iCs/>
        </w:rPr>
        <w:t>i</w:t>
      </w:r>
      <w:r w:rsidR="00503B5C">
        <w:rPr>
          <w:rFonts w:ascii="Arial" w:hAnsi="Arial" w:cs="Arial"/>
          <w:bCs/>
          <w:iCs/>
        </w:rPr>
        <w:t>nfluenza vaccine versus</w:t>
      </w:r>
      <w:r w:rsidR="00503B5C" w:rsidRPr="00E81462">
        <w:rPr>
          <w:rFonts w:ascii="Arial" w:hAnsi="Arial" w:cs="Arial"/>
          <w:color w:val="000000" w:themeColor="text1"/>
        </w:rPr>
        <w:t xml:space="preserve"> </w:t>
      </w:r>
      <w:r w:rsidR="00282EFC" w:rsidRPr="00F14095">
        <w:rPr>
          <w:rFonts w:ascii="Arial" w:hAnsi="Arial" w:cs="Arial"/>
          <w:bCs/>
          <w:color w:val="000000"/>
        </w:rPr>
        <w:t>BNT162b2/Pfizer third/booster dose</w:t>
      </w:r>
      <w:r w:rsidR="00503B5C">
        <w:rPr>
          <w:rFonts w:ascii="Arial" w:hAnsi="Arial" w:cs="Arial"/>
          <w:bCs/>
          <w:iCs/>
        </w:rPr>
        <w:t xml:space="preserve"> for those HCWs who had these vaccines ≤ or &gt; 7 days apart.</w:t>
      </w:r>
    </w:p>
    <w:p w14:paraId="269A3FE4" w14:textId="77777777" w:rsidR="00375E76" w:rsidRDefault="00375E76" w:rsidP="00282EFC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456E693" w14:textId="08AF41EB" w:rsidR="00282EFC" w:rsidRPr="00764AFA" w:rsidRDefault="00282EFC" w:rsidP="00282EFC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  <w:color w:val="FF0000"/>
        </w:rPr>
      </w:pPr>
      <w:r w:rsidRPr="007D1E1A">
        <w:rPr>
          <w:rFonts w:ascii="Arial" w:hAnsi="Arial" w:cs="Arial"/>
          <w:b/>
          <w:bCs/>
          <w:color w:val="000000" w:themeColor="text1"/>
        </w:rPr>
        <w:t xml:space="preserve">Fig 2. </w:t>
      </w:r>
      <w:r w:rsidRPr="007D1E1A">
        <w:rPr>
          <w:rFonts w:ascii="Arial" w:hAnsi="Arial" w:cs="Arial"/>
          <w:b/>
          <w:bCs/>
          <w:i/>
          <w:iCs/>
          <w:color w:val="000000" w:themeColor="text1"/>
        </w:rPr>
        <w:t>Moderate and Severe AEs by COVID-19 Status</w:t>
      </w:r>
      <w:r w:rsidRPr="007D1E1A">
        <w:rPr>
          <w:rFonts w:ascii="Arial" w:hAnsi="Arial" w:cs="Arial"/>
          <w:color w:val="000000" w:themeColor="text1"/>
        </w:rPr>
        <w:t xml:space="preserve">: </w:t>
      </w:r>
      <w:r w:rsidRPr="007D1E1A">
        <w:rPr>
          <w:rFonts w:ascii="Arial" w:hAnsi="Arial" w:cs="Arial"/>
          <w:bCs/>
          <w:color w:val="000000" w:themeColor="text1"/>
        </w:rPr>
        <w:t xml:space="preserve">Percentage of cases reporting moderate or severe AEs (95% CI) following BNT162b2/Pfizer third/booster dose in those with and without a history of COVID-19. N &amp; V: nausea and vomiting. </w:t>
      </w:r>
    </w:p>
    <w:p w14:paraId="695C9170" w14:textId="61BC135C" w:rsidR="00282EFC" w:rsidRDefault="00282EFC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073F8A44" w14:textId="5C7B70CD" w:rsidR="00282EFC" w:rsidRDefault="00282EFC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06A35905" w14:textId="182FDE83" w:rsidR="00282EFC" w:rsidRDefault="00282EFC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7F781968" w14:textId="575603DB" w:rsidR="00E86478" w:rsidRDefault="00E86478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19DECCAA" w14:textId="6B9A041B" w:rsidR="00E86478" w:rsidRDefault="00E86478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0E9C7AC5" w14:textId="52FA8612" w:rsidR="00E86478" w:rsidRDefault="00E86478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6FF633DB" w14:textId="0CDE20A0" w:rsidR="009232DF" w:rsidRDefault="009232DF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40965698" w14:textId="4B19E72B" w:rsidR="00375E76" w:rsidRDefault="00375E76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3BC63483" w14:textId="77777777" w:rsidR="00375E76" w:rsidRDefault="00375E76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399A2FA1" w14:textId="77777777" w:rsidR="00E86478" w:rsidRDefault="00E86478" w:rsidP="00282EFC">
      <w:pPr>
        <w:spacing w:line="480" w:lineRule="auto"/>
        <w:jc w:val="both"/>
        <w:rPr>
          <w:rFonts w:ascii="Arial" w:hAnsi="Arial" w:cs="Arial"/>
          <w:bCs/>
          <w:iCs/>
        </w:rPr>
      </w:pPr>
    </w:p>
    <w:p w14:paraId="68AB9F9B" w14:textId="698F3799" w:rsidR="00E81462" w:rsidRPr="00E81462" w:rsidRDefault="00E81462" w:rsidP="00375E76">
      <w:pPr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iCs/>
        </w:rPr>
        <w:lastRenderedPageBreak/>
        <w:t xml:space="preserve"> </w:t>
      </w:r>
      <w:r w:rsidR="00A427A0" w:rsidRPr="007B76DA">
        <w:rPr>
          <w:rFonts w:ascii="Arial" w:hAnsi="Arial" w:cs="Arial"/>
          <w:b/>
          <w:sz w:val="24"/>
          <w:szCs w:val="24"/>
          <w:u w:val="single"/>
        </w:rPr>
        <w:t>Table</w:t>
      </w:r>
      <w:r w:rsidR="00E86478">
        <w:rPr>
          <w:rFonts w:ascii="Arial" w:hAnsi="Arial" w:cs="Arial"/>
          <w:b/>
          <w:sz w:val="24"/>
          <w:szCs w:val="24"/>
          <w:u w:val="single"/>
        </w:rPr>
        <w:t>s</w:t>
      </w:r>
      <w:r w:rsidR="00A427A0" w:rsidRPr="007B76DA">
        <w:rPr>
          <w:rFonts w:ascii="Arial" w:hAnsi="Arial" w:cs="Arial"/>
          <w:b/>
          <w:sz w:val="24"/>
          <w:szCs w:val="24"/>
          <w:u w:val="single"/>
        </w:rPr>
        <w:t xml:space="preserve"> and Caption</w:t>
      </w:r>
      <w:r w:rsidR="00E86478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709"/>
        <w:gridCol w:w="2268"/>
      </w:tblGrid>
      <w:tr w:rsidR="00C147C9" w:rsidRPr="00650A9F" w14:paraId="1FD6C9DE" w14:textId="77777777" w:rsidTr="00C147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1D9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6C1" w14:textId="77777777" w:rsidR="00F14095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C147C9">
              <w:rPr>
                <w:rFonts w:ascii="Arial" w:hAnsi="Arial" w:cs="Arial"/>
                <w:b/>
                <w:bCs/>
              </w:rPr>
              <w:t>Male</w:t>
            </w:r>
            <w:r w:rsidR="00EF321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425DBB" w14:textId="368CF680" w:rsidR="00C147C9" w:rsidRPr="00C147C9" w:rsidRDefault="00EF3218" w:rsidP="00C147C9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(n=80)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7FC" w14:textId="0130C724" w:rsidR="00C147C9" w:rsidRPr="00C147C9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C147C9">
              <w:rPr>
                <w:rFonts w:ascii="Arial" w:hAnsi="Arial" w:cs="Arial"/>
                <w:b/>
                <w:bCs/>
              </w:rPr>
              <w:t>Female</w:t>
            </w:r>
            <w:r w:rsidR="00EF3218">
              <w:rPr>
                <w:rFonts w:ascii="Arial" w:hAnsi="Arial" w:cs="Arial"/>
                <w:b/>
                <w:bCs/>
              </w:rPr>
              <w:t xml:space="preserve"> (n=454)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291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96FA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d [95% C.I.]</w:t>
            </w:r>
          </w:p>
        </w:tc>
      </w:tr>
      <w:tr w:rsidR="00EF3218" w:rsidRPr="00650A9F" w14:paraId="777259B9" w14:textId="77777777" w:rsidTr="00C147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6CA" w14:textId="286BF72B" w:rsidR="00EF3218" w:rsidRPr="0023648B" w:rsidRDefault="00EF3218" w:rsidP="00C147C9">
            <w:pPr>
              <w:spacing w:after="0"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6AA" w14:textId="03BA7332" w:rsidR="00EF3218" w:rsidRPr="00650A9F" w:rsidRDefault="00EF3218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48.7 (11.5)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515" w14:textId="63813ABE" w:rsidR="00EF3218" w:rsidRPr="00650A9F" w:rsidRDefault="00EF3218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 (10.7)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1DB" w14:textId="4D20D024" w:rsidR="00EF3218" w:rsidRPr="00650A9F" w:rsidRDefault="00EF3218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F43" w14:textId="73EAC96E" w:rsidR="00EF3218" w:rsidRPr="00650A9F" w:rsidRDefault="00EF3218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147C9" w:rsidRPr="00650A9F" w14:paraId="14537CDE" w14:textId="77777777" w:rsidTr="00C147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0359" w14:textId="6BDC31C1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23648B">
              <w:rPr>
                <w:rFonts w:ascii="Arial" w:hAnsi="Arial" w:cs="Arial"/>
                <w:bCs/>
                <w:color w:val="000000" w:themeColor="text1"/>
              </w:rPr>
              <w:t xml:space="preserve">BNT162b2/Pfizer </w:t>
            </w:r>
            <w:r w:rsidRPr="00650A9F">
              <w:rPr>
                <w:rFonts w:ascii="Arial" w:hAnsi="Arial" w:cs="Arial"/>
              </w:rPr>
              <w:t>Dose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1B90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2.84 (2.85)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3FED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2.86 (2.75)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2E0E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973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0.008 [-0.23 – 0.25]</w:t>
            </w:r>
          </w:p>
        </w:tc>
      </w:tr>
      <w:tr w:rsidR="00C147C9" w:rsidRPr="00650A9F" w14:paraId="60ABBA17" w14:textId="77777777" w:rsidTr="00C147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0D30" w14:textId="7CCDBE79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23648B">
              <w:rPr>
                <w:rFonts w:ascii="Arial" w:hAnsi="Arial" w:cs="Arial"/>
                <w:bCs/>
                <w:color w:val="000000" w:themeColor="text1"/>
              </w:rPr>
              <w:t xml:space="preserve">BNT162b2/Pfizer </w:t>
            </w:r>
            <w:r w:rsidRPr="00650A9F">
              <w:rPr>
                <w:rFonts w:ascii="Arial" w:hAnsi="Arial" w:cs="Arial"/>
              </w:rPr>
              <w:t>Dose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E1A5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2.44 (2.90)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76C5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2.55 (2.80)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38EA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836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0.04 [-0.2 – 0.28]</w:t>
            </w:r>
          </w:p>
        </w:tc>
      </w:tr>
      <w:tr w:rsidR="00C147C9" w:rsidRPr="00650A9F" w14:paraId="607389DE" w14:textId="77777777" w:rsidTr="00C147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E28B" w14:textId="3B59EAE3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23648B">
              <w:rPr>
                <w:rFonts w:ascii="Arial" w:hAnsi="Arial" w:cs="Arial"/>
                <w:bCs/>
                <w:color w:val="000000" w:themeColor="text1"/>
              </w:rPr>
              <w:t xml:space="preserve">BNT162b2/Pfizer </w:t>
            </w:r>
            <w:r w:rsidRPr="00650A9F">
              <w:rPr>
                <w:rFonts w:ascii="Arial" w:hAnsi="Arial" w:cs="Arial"/>
              </w:rPr>
              <w:t>Dose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AE56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0.99 (1.97)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E9CA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1.43 (2.01)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CE56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EEC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0.22 [-0.02 – 0.46]</w:t>
            </w:r>
          </w:p>
        </w:tc>
      </w:tr>
      <w:tr w:rsidR="00C147C9" w:rsidRPr="00650A9F" w14:paraId="163272FB" w14:textId="77777777" w:rsidTr="00C147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E416" w14:textId="664F114A" w:rsidR="00C147C9" w:rsidRPr="00650A9F" w:rsidRDefault="00E95314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Influenza</w:t>
            </w:r>
            <w:r w:rsidR="00C14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030D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0.78 (1.79)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C224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0.76 (1.48)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6AA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0.90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DB4" w14:textId="77777777" w:rsidR="00C147C9" w:rsidRPr="00650A9F" w:rsidRDefault="00C147C9" w:rsidP="00C147C9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650A9F">
              <w:rPr>
                <w:rFonts w:ascii="Arial" w:hAnsi="Arial" w:cs="Arial"/>
              </w:rPr>
              <w:t>- 0.02 [-0.26 – 0.23]</w:t>
            </w:r>
          </w:p>
        </w:tc>
      </w:tr>
    </w:tbl>
    <w:p w14:paraId="187F1373" w14:textId="79FFAAEF" w:rsidR="00A427A0" w:rsidRPr="00E81462" w:rsidRDefault="00A427A0" w:rsidP="00E86478">
      <w:pPr>
        <w:tabs>
          <w:tab w:val="left" w:pos="3652"/>
        </w:tabs>
        <w:spacing w:before="240" w:line="480" w:lineRule="auto"/>
        <w:jc w:val="both"/>
        <w:rPr>
          <w:rFonts w:ascii="Arial" w:hAnsi="Arial" w:cs="Arial"/>
          <w:bCs/>
          <w:iCs/>
        </w:rPr>
      </w:pPr>
      <w:r w:rsidRPr="007819FF">
        <w:rPr>
          <w:rFonts w:ascii="Arial" w:hAnsi="Arial" w:cs="Arial"/>
          <w:b/>
          <w:bCs/>
        </w:rPr>
        <w:t>Table 1.</w:t>
      </w:r>
      <w:r w:rsidRPr="007819FF">
        <w:rPr>
          <w:rFonts w:ascii="Arial" w:hAnsi="Arial" w:cs="Arial"/>
        </w:rPr>
        <w:t xml:space="preserve"> </w:t>
      </w:r>
      <w:r w:rsidR="00E81462" w:rsidRPr="00E81462">
        <w:rPr>
          <w:rFonts w:ascii="Arial" w:hAnsi="Arial" w:cs="Arial"/>
          <w:b/>
          <w:bCs/>
          <w:i/>
          <w:iCs/>
        </w:rPr>
        <w:t>Number of AEs by Participant Gender and Vaccine Dose</w:t>
      </w:r>
      <w:r w:rsidR="00E81462">
        <w:rPr>
          <w:rFonts w:ascii="Arial" w:hAnsi="Arial" w:cs="Arial"/>
        </w:rPr>
        <w:t>: Mean</w:t>
      </w:r>
      <w:r w:rsidR="00EF3218">
        <w:rPr>
          <w:rFonts w:ascii="Arial" w:hAnsi="Arial" w:cs="Arial"/>
        </w:rPr>
        <w:t xml:space="preserve"> (S.D</w:t>
      </w:r>
      <w:proofErr w:type="gramStart"/>
      <w:r w:rsidR="00EF3218">
        <w:rPr>
          <w:rFonts w:ascii="Arial" w:hAnsi="Arial" w:cs="Arial"/>
        </w:rPr>
        <w:t xml:space="preserve">) </w:t>
      </w:r>
      <w:r w:rsidR="00E81462">
        <w:rPr>
          <w:rFonts w:ascii="Arial" w:hAnsi="Arial" w:cs="Arial"/>
        </w:rPr>
        <w:t xml:space="preserve"> number</w:t>
      </w:r>
      <w:proofErr w:type="gramEnd"/>
      <w:r w:rsidR="00E81462">
        <w:rPr>
          <w:rFonts w:ascii="Arial" w:hAnsi="Arial" w:cs="Arial"/>
        </w:rPr>
        <w:t xml:space="preserve"> of AEs reported by male versus female HCWs </w:t>
      </w:r>
      <w:r w:rsidR="00E81462">
        <w:rPr>
          <w:rFonts w:ascii="Arial" w:hAnsi="Arial" w:cs="Arial"/>
          <w:bCs/>
          <w:iCs/>
        </w:rPr>
        <w:t xml:space="preserve">for all three </w:t>
      </w:r>
      <w:r w:rsidR="00E81462" w:rsidRPr="00CF1942">
        <w:rPr>
          <w:rFonts w:ascii="Arial" w:hAnsi="Arial" w:cs="Arial"/>
          <w:color w:val="000000" w:themeColor="text1"/>
        </w:rPr>
        <w:t>BNT162b2/Pfizer</w:t>
      </w:r>
      <w:r w:rsidR="00E81462">
        <w:rPr>
          <w:rFonts w:ascii="Arial" w:hAnsi="Arial" w:cs="Arial"/>
          <w:color w:val="000000" w:themeColor="text1"/>
        </w:rPr>
        <w:t xml:space="preserve"> doses and the seasonal </w:t>
      </w:r>
      <w:r w:rsidR="00E95314">
        <w:rPr>
          <w:rFonts w:ascii="Arial" w:hAnsi="Arial" w:cs="Arial"/>
          <w:color w:val="000000" w:themeColor="text1"/>
        </w:rPr>
        <w:t>Influenza</w:t>
      </w:r>
      <w:r w:rsidR="00E81462">
        <w:rPr>
          <w:rFonts w:ascii="Arial" w:hAnsi="Arial" w:cs="Arial"/>
          <w:color w:val="000000" w:themeColor="text1"/>
        </w:rPr>
        <w:t xml:space="preserve"> vaccine. </w:t>
      </w:r>
    </w:p>
    <w:p w14:paraId="02891380" w14:textId="58FF8E9E" w:rsidR="00F14095" w:rsidRDefault="00F14095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5F0F2B3F" w14:textId="36FBB1FC" w:rsidR="00C53F63" w:rsidRDefault="00C53F63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70E7D015" w14:textId="65913AB2" w:rsidR="00C53F63" w:rsidRDefault="00C53F63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0F85BD12" w14:textId="43A66AC6" w:rsidR="00C53F63" w:rsidRDefault="00C53F63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625B0837" w14:textId="44A82390" w:rsidR="00C53F63" w:rsidRDefault="00C53F63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01692F32" w14:textId="3FF6B886" w:rsidR="00C53F63" w:rsidRDefault="00C53F63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7711D08E" w14:textId="31E65935" w:rsidR="00C53F63" w:rsidRDefault="00C53F63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6CF901AB" w14:textId="03265625" w:rsidR="00C53F63" w:rsidRDefault="00C53F63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70C377D2" w14:textId="77777777" w:rsidR="00C53F63" w:rsidRDefault="00C53F63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68"/>
        <w:gridCol w:w="1579"/>
      </w:tblGrid>
      <w:tr w:rsidR="00F14095" w:rsidRPr="00F14095" w14:paraId="1611A750" w14:textId="77777777" w:rsidTr="00282EFC">
        <w:trPr>
          <w:trHeight w:val="4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AFD69E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A2DA7" w14:textId="77777777" w:rsidR="00F14095" w:rsidRDefault="00F14095" w:rsidP="00F14095">
            <w:pPr>
              <w:spacing w:after="0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2C90D58" w14:textId="6E5FDEFB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  <w:u w:val="single"/>
              </w:rPr>
            </w:pPr>
            <w:r w:rsidRPr="00F14095">
              <w:rPr>
                <w:rFonts w:ascii="Arial" w:eastAsia="Calibri" w:hAnsi="Arial" w:cs="Arial"/>
                <w:b/>
                <w:bCs/>
                <w:u w:val="single"/>
              </w:rPr>
              <w:t>Dose 3</w:t>
            </w:r>
          </w:p>
        </w:tc>
      </w:tr>
      <w:tr w:rsidR="00F14095" w:rsidRPr="00F14095" w14:paraId="7300E245" w14:textId="77777777" w:rsidTr="00282EFC">
        <w:trPr>
          <w:trHeight w:val="784"/>
        </w:trPr>
        <w:tc>
          <w:tcPr>
            <w:tcW w:w="2410" w:type="dxa"/>
            <w:tcBorders>
              <w:top w:val="single" w:sz="4" w:space="0" w:color="auto"/>
            </w:tcBorders>
          </w:tcPr>
          <w:p w14:paraId="3E4C6056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35F2B8EB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 xml:space="preserve">Odds Ratio </w:t>
            </w:r>
          </w:p>
          <w:p w14:paraId="13188688" w14:textId="5403EEF3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(95% C.I.)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EEDC73B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F14095">
              <w:rPr>
                <w:rFonts w:ascii="Arial" w:eastAsia="Calibri" w:hAnsi="Arial" w:cs="Arial"/>
                <w:b/>
                <w:bCs/>
                <w:i/>
                <w:iCs/>
              </w:rPr>
              <w:t>p</w:t>
            </w:r>
          </w:p>
        </w:tc>
      </w:tr>
      <w:tr w:rsidR="00F14095" w:rsidRPr="00F14095" w14:paraId="17A4EAD9" w14:textId="77777777" w:rsidTr="00282EFC">
        <w:trPr>
          <w:trHeight w:val="482"/>
        </w:trPr>
        <w:tc>
          <w:tcPr>
            <w:tcW w:w="2410" w:type="dxa"/>
          </w:tcPr>
          <w:p w14:paraId="03F567FB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Fever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14:paraId="78A2C5D9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 xml:space="preserve">1.44 (0.55 3.81) 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178D027B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&gt;.99</w:t>
            </w:r>
          </w:p>
        </w:tc>
      </w:tr>
      <w:tr w:rsidR="00F14095" w:rsidRPr="00F14095" w14:paraId="47456F7E" w14:textId="77777777" w:rsidTr="00282EFC">
        <w:trPr>
          <w:trHeight w:val="494"/>
        </w:trPr>
        <w:tc>
          <w:tcPr>
            <w:tcW w:w="2410" w:type="dxa"/>
          </w:tcPr>
          <w:p w14:paraId="2CD24938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Fatigue</w:t>
            </w:r>
          </w:p>
        </w:tc>
        <w:tc>
          <w:tcPr>
            <w:tcW w:w="1968" w:type="dxa"/>
          </w:tcPr>
          <w:p w14:paraId="1A4FC0A3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2.37 (1.32 4.27)</w:t>
            </w:r>
          </w:p>
        </w:tc>
        <w:tc>
          <w:tcPr>
            <w:tcW w:w="1579" w:type="dxa"/>
          </w:tcPr>
          <w:p w14:paraId="009DF826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&lt;.001</w:t>
            </w:r>
          </w:p>
        </w:tc>
      </w:tr>
      <w:tr w:rsidR="00F14095" w:rsidRPr="00F14095" w14:paraId="76F20BDA" w14:textId="77777777" w:rsidTr="00282EFC">
        <w:trPr>
          <w:trHeight w:val="494"/>
        </w:trPr>
        <w:tc>
          <w:tcPr>
            <w:tcW w:w="2410" w:type="dxa"/>
          </w:tcPr>
          <w:p w14:paraId="4DD31CA0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Myalgia</w:t>
            </w:r>
          </w:p>
        </w:tc>
        <w:tc>
          <w:tcPr>
            <w:tcW w:w="1968" w:type="dxa"/>
          </w:tcPr>
          <w:p w14:paraId="36FE01FD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2.25 (1.18 4.28)</w:t>
            </w:r>
          </w:p>
        </w:tc>
        <w:tc>
          <w:tcPr>
            <w:tcW w:w="1579" w:type="dxa"/>
          </w:tcPr>
          <w:p w14:paraId="499F14E9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0.001</w:t>
            </w:r>
          </w:p>
        </w:tc>
      </w:tr>
      <w:tr w:rsidR="00F14095" w:rsidRPr="00F14095" w14:paraId="2363656E" w14:textId="77777777" w:rsidTr="00282EFC">
        <w:trPr>
          <w:trHeight w:val="494"/>
        </w:trPr>
        <w:tc>
          <w:tcPr>
            <w:tcW w:w="2410" w:type="dxa"/>
          </w:tcPr>
          <w:p w14:paraId="3EBDA8E6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Arthralgia</w:t>
            </w:r>
          </w:p>
        </w:tc>
        <w:tc>
          <w:tcPr>
            <w:tcW w:w="1968" w:type="dxa"/>
          </w:tcPr>
          <w:p w14:paraId="0D055F64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2.10 (0.98 4.46)</w:t>
            </w:r>
          </w:p>
        </w:tc>
        <w:tc>
          <w:tcPr>
            <w:tcW w:w="1579" w:type="dxa"/>
          </w:tcPr>
          <w:p w14:paraId="22293F05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0.06</w:t>
            </w:r>
          </w:p>
        </w:tc>
      </w:tr>
      <w:tr w:rsidR="00F14095" w:rsidRPr="00F14095" w14:paraId="2DEFDF78" w14:textId="77777777" w:rsidTr="00282EFC">
        <w:trPr>
          <w:trHeight w:val="494"/>
        </w:trPr>
        <w:tc>
          <w:tcPr>
            <w:tcW w:w="2410" w:type="dxa"/>
          </w:tcPr>
          <w:p w14:paraId="3736F2CC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Lymphadenopathy</w:t>
            </w:r>
          </w:p>
        </w:tc>
        <w:tc>
          <w:tcPr>
            <w:tcW w:w="1968" w:type="dxa"/>
          </w:tcPr>
          <w:p w14:paraId="520D3AAC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0.79 (0.79 1.40)</w:t>
            </w:r>
          </w:p>
        </w:tc>
        <w:tc>
          <w:tcPr>
            <w:tcW w:w="1579" w:type="dxa"/>
          </w:tcPr>
          <w:p w14:paraId="6090CC06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&gt;.99</w:t>
            </w:r>
          </w:p>
        </w:tc>
      </w:tr>
      <w:tr w:rsidR="00F14095" w:rsidRPr="00F14095" w14:paraId="4EB3A4C1" w14:textId="77777777" w:rsidTr="00282EFC">
        <w:trPr>
          <w:trHeight w:val="494"/>
        </w:trPr>
        <w:tc>
          <w:tcPr>
            <w:tcW w:w="2410" w:type="dxa"/>
          </w:tcPr>
          <w:p w14:paraId="665CB78A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Local Pain</w:t>
            </w:r>
          </w:p>
        </w:tc>
        <w:tc>
          <w:tcPr>
            <w:tcW w:w="1968" w:type="dxa"/>
          </w:tcPr>
          <w:p w14:paraId="0DFA04C6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1.43 (0.77 2.65)</w:t>
            </w:r>
          </w:p>
        </w:tc>
        <w:tc>
          <w:tcPr>
            <w:tcW w:w="1579" w:type="dxa"/>
          </w:tcPr>
          <w:p w14:paraId="4B95D906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&gt;.99</w:t>
            </w:r>
          </w:p>
        </w:tc>
      </w:tr>
      <w:tr w:rsidR="00F14095" w:rsidRPr="00F14095" w14:paraId="2CF6A66C" w14:textId="77777777" w:rsidTr="00282EFC">
        <w:trPr>
          <w:trHeight w:val="494"/>
        </w:trPr>
        <w:tc>
          <w:tcPr>
            <w:tcW w:w="2410" w:type="dxa"/>
          </w:tcPr>
          <w:p w14:paraId="5CC45754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Local Redness</w:t>
            </w:r>
          </w:p>
        </w:tc>
        <w:tc>
          <w:tcPr>
            <w:tcW w:w="1968" w:type="dxa"/>
          </w:tcPr>
          <w:p w14:paraId="73571BD6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2.56 (0.77 8.53)</w:t>
            </w:r>
          </w:p>
        </w:tc>
        <w:tc>
          <w:tcPr>
            <w:tcW w:w="1579" w:type="dxa"/>
          </w:tcPr>
          <w:p w14:paraId="6FD3D747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0.33</w:t>
            </w:r>
          </w:p>
        </w:tc>
      </w:tr>
      <w:tr w:rsidR="00F14095" w:rsidRPr="00F14095" w14:paraId="69373520" w14:textId="77777777" w:rsidTr="00282EFC">
        <w:trPr>
          <w:trHeight w:val="494"/>
        </w:trPr>
        <w:tc>
          <w:tcPr>
            <w:tcW w:w="2410" w:type="dxa"/>
          </w:tcPr>
          <w:p w14:paraId="0D5B38CE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Local Swelling</w:t>
            </w:r>
          </w:p>
        </w:tc>
        <w:tc>
          <w:tcPr>
            <w:tcW w:w="1968" w:type="dxa"/>
          </w:tcPr>
          <w:p w14:paraId="7F9EF9D1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3.15 (0.82 12.11)</w:t>
            </w:r>
          </w:p>
        </w:tc>
        <w:tc>
          <w:tcPr>
            <w:tcW w:w="1579" w:type="dxa"/>
          </w:tcPr>
          <w:p w14:paraId="10E2D5F8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0.18</w:t>
            </w:r>
          </w:p>
        </w:tc>
      </w:tr>
      <w:tr w:rsidR="00F14095" w:rsidRPr="00F14095" w14:paraId="48B1218D" w14:textId="77777777" w:rsidTr="00282EFC">
        <w:trPr>
          <w:trHeight w:val="494"/>
        </w:trPr>
        <w:tc>
          <w:tcPr>
            <w:tcW w:w="2410" w:type="dxa"/>
          </w:tcPr>
          <w:p w14:paraId="05FE0903" w14:textId="60C31896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N</w:t>
            </w:r>
            <w:r w:rsidR="000E22B7">
              <w:rPr>
                <w:rFonts w:ascii="Arial" w:eastAsia="Calibri" w:hAnsi="Arial" w:cs="Arial"/>
                <w:b/>
                <w:bCs/>
              </w:rPr>
              <w:t>aus</w:t>
            </w:r>
            <w:r w:rsidR="007E2BE1">
              <w:rPr>
                <w:rFonts w:ascii="Arial" w:eastAsia="Calibri" w:hAnsi="Arial" w:cs="Arial"/>
                <w:b/>
                <w:bCs/>
              </w:rPr>
              <w:t>e</w:t>
            </w:r>
            <w:r w:rsidR="000E22B7">
              <w:rPr>
                <w:rFonts w:ascii="Arial" w:eastAsia="Calibri" w:hAnsi="Arial" w:cs="Arial"/>
                <w:b/>
                <w:bCs/>
              </w:rPr>
              <w:t xml:space="preserve">a &amp; </w:t>
            </w:r>
            <w:r w:rsidRPr="00F14095">
              <w:rPr>
                <w:rFonts w:ascii="Arial" w:eastAsia="Calibri" w:hAnsi="Arial" w:cs="Arial"/>
                <w:b/>
                <w:bCs/>
              </w:rPr>
              <w:t>V</w:t>
            </w:r>
            <w:r w:rsidR="000E22B7">
              <w:rPr>
                <w:rFonts w:ascii="Arial" w:eastAsia="Calibri" w:hAnsi="Arial" w:cs="Arial"/>
                <w:b/>
                <w:bCs/>
              </w:rPr>
              <w:t>omiting</w:t>
            </w:r>
          </w:p>
        </w:tc>
        <w:tc>
          <w:tcPr>
            <w:tcW w:w="1968" w:type="dxa"/>
          </w:tcPr>
          <w:p w14:paraId="7DAC5948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0.51 (0.12 2.12)</w:t>
            </w:r>
          </w:p>
        </w:tc>
        <w:tc>
          <w:tcPr>
            <w:tcW w:w="1579" w:type="dxa"/>
          </w:tcPr>
          <w:p w14:paraId="57EA0AE7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&gt;.99</w:t>
            </w:r>
          </w:p>
        </w:tc>
      </w:tr>
      <w:tr w:rsidR="00F14095" w:rsidRPr="00F14095" w14:paraId="34DEE275" w14:textId="77777777" w:rsidTr="00282EFC">
        <w:trPr>
          <w:trHeight w:val="494"/>
        </w:trPr>
        <w:tc>
          <w:tcPr>
            <w:tcW w:w="2410" w:type="dxa"/>
          </w:tcPr>
          <w:p w14:paraId="4E60EBB3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Diarrhoea</w:t>
            </w:r>
          </w:p>
        </w:tc>
        <w:tc>
          <w:tcPr>
            <w:tcW w:w="1968" w:type="dxa"/>
          </w:tcPr>
          <w:p w14:paraId="773F04D2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1.49 (0.23 9.47)</w:t>
            </w:r>
          </w:p>
        </w:tc>
        <w:tc>
          <w:tcPr>
            <w:tcW w:w="1579" w:type="dxa"/>
          </w:tcPr>
          <w:p w14:paraId="47A8E17A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&gt;.99</w:t>
            </w:r>
          </w:p>
        </w:tc>
      </w:tr>
      <w:tr w:rsidR="00F14095" w:rsidRPr="00F14095" w14:paraId="6B570267" w14:textId="77777777" w:rsidTr="00282EFC">
        <w:trPr>
          <w:trHeight w:val="482"/>
        </w:trPr>
        <w:tc>
          <w:tcPr>
            <w:tcW w:w="2410" w:type="dxa"/>
            <w:tcBorders>
              <w:bottom w:val="single" w:sz="4" w:space="0" w:color="auto"/>
            </w:tcBorders>
          </w:tcPr>
          <w:p w14:paraId="65A273E0" w14:textId="77777777" w:rsidR="00F14095" w:rsidRPr="00F14095" w:rsidRDefault="00F14095" w:rsidP="00941CB7">
            <w:pPr>
              <w:rPr>
                <w:rFonts w:ascii="Arial" w:eastAsia="Calibri" w:hAnsi="Arial" w:cs="Arial"/>
                <w:b/>
                <w:bCs/>
              </w:rPr>
            </w:pPr>
            <w:r w:rsidRPr="00F14095">
              <w:rPr>
                <w:rFonts w:ascii="Arial" w:eastAsia="Calibri" w:hAnsi="Arial" w:cs="Arial"/>
                <w:b/>
                <w:bCs/>
              </w:rPr>
              <w:t>Headache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24443C42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2.03 (1.10 3.77)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8C86852" w14:textId="77777777" w:rsidR="00F14095" w:rsidRPr="00F14095" w:rsidRDefault="00F14095" w:rsidP="00941CB7">
            <w:pPr>
              <w:rPr>
                <w:rFonts w:ascii="Arial" w:eastAsia="Calibri" w:hAnsi="Arial" w:cs="Arial"/>
              </w:rPr>
            </w:pPr>
            <w:r w:rsidRPr="00F14095">
              <w:rPr>
                <w:rFonts w:ascii="Arial" w:eastAsia="Calibri" w:hAnsi="Arial" w:cs="Arial"/>
              </w:rPr>
              <w:t>0.011</w:t>
            </w:r>
          </w:p>
        </w:tc>
      </w:tr>
    </w:tbl>
    <w:p w14:paraId="170FAA8D" w14:textId="4C363906" w:rsidR="00EB61B1" w:rsidRDefault="00EB61B1" w:rsidP="00A427A0">
      <w:pPr>
        <w:spacing w:before="100" w:beforeAutospacing="1" w:after="100" w:afterAutospacing="1" w:line="480" w:lineRule="auto"/>
        <w:jc w:val="both"/>
        <w:rPr>
          <w:rFonts w:ascii="Arial" w:hAnsi="Arial" w:cs="Arial"/>
          <w:bCs/>
          <w:color w:val="000000"/>
        </w:rPr>
      </w:pPr>
      <w:r w:rsidRPr="00EB61B1">
        <w:rPr>
          <w:rFonts w:ascii="Arial" w:hAnsi="Arial" w:cs="Arial"/>
          <w:b/>
          <w:bCs/>
        </w:rPr>
        <w:t>Table 2.</w:t>
      </w:r>
      <w:r w:rsidR="00E81462">
        <w:rPr>
          <w:rFonts w:ascii="Arial" w:hAnsi="Arial" w:cs="Arial"/>
          <w:b/>
          <w:bCs/>
        </w:rPr>
        <w:t xml:space="preserve"> </w:t>
      </w:r>
      <w:r w:rsidR="00E81462" w:rsidRPr="007819FF">
        <w:rPr>
          <w:rFonts w:ascii="Arial" w:hAnsi="Arial" w:cs="Arial"/>
          <w:b/>
          <w:bCs/>
          <w:i/>
          <w:iCs/>
          <w:color w:val="000000"/>
        </w:rPr>
        <w:t xml:space="preserve">Moderate and Severe </w:t>
      </w:r>
      <w:r w:rsidR="00E81462">
        <w:rPr>
          <w:rFonts w:ascii="Arial" w:hAnsi="Arial" w:cs="Arial"/>
          <w:b/>
          <w:bCs/>
          <w:i/>
          <w:iCs/>
          <w:color w:val="000000"/>
        </w:rPr>
        <w:t>AEs</w:t>
      </w:r>
      <w:r w:rsidR="00E81462" w:rsidRPr="007819FF">
        <w:rPr>
          <w:rFonts w:ascii="Arial" w:hAnsi="Arial" w:cs="Arial"/>
          <w:b/>
          <w:bCs/>
          <w:i/>
          <w:iCs/>
          <w:color w:val="000000"/>
        </w:rPr>
        <w:t xml:space="preserve"> by COVID-19 Status</w:t>
      </w:r>
      <w:r w:rsidR="00E81462" w:rsidRPr="007819FF">
        <w:rPr>
          <w:rFonts w:ascii="Arial" w:hAnsi="Arial" w:cs="Arial"/>
          <w:color w:val="000000"/>
        </w:rPr>
        <w:t xml:space="preserve">: </w:t>
      </w:r>
      <w:r w:rsidR="00E81462" w:rsidRPr="007819FF">
        <w:rPr>
          <w:rFonts w:ascii="Arial" w:hAnsi="Arial" w:cs="Arial"/>
          <w:bCs/>
          <w:color w:val="000000"/>
        </w:rPr>
        <w:t xml:space="preserve">Percentage of cases reporting moderate or severe </w:t>
      </w:r>
      <w:r w:rsidR="00E81462">
        <w:rPr>
          <w:rFonts w:ascii="Arial" w:hAnsi="Arial" w:cs="Arial"/>
          <w:bCs/>
          <w:color w:val="000000"/>
        </w:rPr>
        <w:t>AEs</w:t>
      </w:r>
      <w:r w:rsidR="00E81462" w:rsidRPr="007819FF">
        <w:rPr>
          <w:rFonts w:ascii="Arial" w:hAnsi="Arial" w:cs="Arial"/>
          <w:bCs/>
          <w:color w:val="000000"/>
        </w:rPr>
        <w:t xml:space="preserve"> </w:t>
      </w:r>
      <w:r w:rsidR="00F14095">
        <w:rPr>
          <w:rFonts w:ascii="Arial" w:hAnsi="Arial" w:cs="Arial"/>
          <w:bCs/>
          <w:color w:val="000000"/>
        </w:rPr>
        <w:t xml:space="preserve">following </w:t>
      </w:r>
      <w:r w:rsidR="00F14095" w:rsidRPr="00F14095">
        <w:rPr>
          <w:rFonts w:ascii="Arial" w:hAnsi="Arial" w:cs="Arial"/>
          <w:bCs/>
          <w:color w:val="000000"/>
        </w:rPr>
        <w:t xml:space="preserve">BNT162b2/Pfizer third/booster dose </w:t>
      </w:r>
      <w:r w:rsidR="00E81462" w:rsidRPr="007819FF">
        <w:rPr>
          <w:rFonts w:ascii="Arial" w:hAnsi="Arial" w:cs="Arial"/>
          <w:bCs/>
          <w:color w:val="000000"/>
        </w:rPr>
        <w:t>(95% CI) in those with and without a history of COVID-19</w:t>
      </w:r>
      <w:r w:rsidR="00E81462">
        <w:rPr>
          <w:rFonts w:ascii="Arial" w:hAnsi="Arial" w:cs="Arial"/>
          <w:bCs/>
          <w:color w:val="000000"/>
        </w:rPr>
        <w:t xml:space="preserve"> (the former including</w:t>
      </w:r>
      <w:r w:rsidR="000E22B7">
        <w:rPr>
          <w:rFonts w:ascii="Arial" w:hAnsi="Arial" w:cs="Arial"/>
          <w:bCs/>
          <w:color w:val="000000"/>
        </w:rPr>
        <w:t xml:space="preserve"> OSC</w:t>
      </w:r>
      <w:r w:rsidR="00E81462">
        <w:rPr>
          <w:rFonts w:ascii="Arial" w:hAnsi="Arial" w:cs="Arial"/>
          <w:bCs/>
          <w:color w:val="000000"/>
        </w:rPr>
        <w:t>)</w:t>
      </w:r>
      <w:r w:rsidR="00E81462" w:rsidRPr="007819FF">
        <w:rPr>
          <w:rFonts w:ascii="Arial" w:hAnsi="Arial" w:cs="Arial"/>
          <w:bCs/>
          <w:color w:val="000000"/>
        </w:rPr>
        <w:t xml:space="preserve">. </w:t>
      </w:r>
    </w:p>
    <w:p w14:paraId="57366D3A" w14:textId="3666558B" w:rsidR="00EB43FE" w:rsidRDefault="00EB43FE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14:paraId="3A7E5DB5" w14:textId="297A51D4" w:rsidR="00EB43FE" w:rsidRPr="00F71A96" w:rsidRDefault="00EB43FE" w:rsidP="00EB43FE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  <w:u w:val="single"/>
        </w:rPr>
      </w:pPr>
      <w:r w:rsidRPr="00F71A96">
        <w:rPr>
          <w:rFonts w:ascii="Arial" w:hAnsi="Arial" w:cs="Arial"/>
          <w:b/>
          <w:bCs/>
          <w:u w:val="single"/>
        </w:rPr>
        <w:lastRenderedPageBreak/>
        <w:t>Supplementary File Title</w:t>
      </w:r>
    </w:p>
    <w:p w14:paraId="0EEC7BDB" w14:textId="2FAF02CE" w:rsidR="00EB43FE" w:rsidRPr="00EB61B1" w:rsidRDefault="00EB43FE" w:rsidP="00EB43FE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A1216B">
        <w:rPr>
          <w:rFonts w:ascii="Arial" w:hAnsi="Arial" w:cs="Arial"/>
          <w:b/>
          <w:bCs/>
        </w:rPr>
        <w:t>1 Data</w:t>
      </w:r>
      <w:r w:rsidRPr="00EB43FE">
        <w:rPr>
          <w:rFonts w:ascii="Arial" w:hAnsi="Arial" w:cs="Arial"/>
          <w:b/>
          <w:bCs/>
          <w:i/>
          <w:iCs/>
        </w:rPr>
        <w:t>. Raw data for all participants who received 3 doses of BNT162b2/Pfizer vaccine.</w:t>
      </w:r>
    </w:p>
    <w:p w14:paraId="5E19E7B6" w14:textId="77777777" w:rsidR="00A427A0" w:rsidRPr="00A427A0" w:rsidRDefault="00A427A0" w:rsidP="00A427A0">
      <w:pPr>
        <w:tabs>
          <w:tab w:val="left" w:pos="3652"/>
        </w:tabs>
        <w:spacing w:line="480" w:lineRule="auto"/>
        <w:jc w:val="both"/>
        <w:rPr>
          <w:rFonts w:ascii="Arial" w:hAnsi="Arial" w:cs="Arial"/>
          <w:b/>
        </w:rPr>
      </w:pPr>
    </w:p>
    <w:p w14:paraId="22DB0F28" w14:textId="77777777" w:rsidR="009769F0" w:rsidRPr="00A427A0" w:rsidRDefault="009769F0" w:rsidP="00A427A0">
      <w:pPr>
        <w:spacing w:after="0" w:line="240" w:lineRule="auto"/>
        <w:rPr>
          <w:rFonts w:ascii="Arial" w:hAnsi="Arial" w:cs="Arial"/>
          <w:i/>
          <w:iCs/>
        </w:rPr>
      </w:pPr>
    </w:p>
    <w:sectPr w:rsidR="009769F0" w:rsidRPr="00A427A0" w:rsidSect="00E559FC">
      <w:footerReference w:type="default" r:id="rId9"/>
      <w:type w:val="continuous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8CD0" w14:textId="77777777" w:rsidR="008E12A1" w:rsidRDefault="008E12A1">
      <w:pPr>
        <w:spacing w:after="0" w:line="240" w:lineRule="auto"/>
      </w:pPr>
      <w:r>
        <w:separator/>
      </w:r>
    </w:p>
  </w:endnote>
  <w:endnote w:type="continuationSeparator" w:id="0">
    <w:p w14:paraId="037BD3E2" w14:textId="77777777" w:rsidR="008E12A1" w:rsidRDefault="008E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ker 2 Lancet">
    <w:altName w:val="Shaker 2 Lanc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9250" w14:textId="77777777" w:rsidR="00E20D86" w:rsidRPr="00072BB1" w:rsidRDefault="00470550">
    <w:pPr>
      <w:pStyle w:val="Footer"/>
      <w:jc w:val="center"/>
      <w:rPr>
        <w:rFonts w:ascii="Arial" w:hAnsi="Arial" w:cs="Arial"/>
        <w:sz w:val="20"/>
        <w:szCs w:val="20"/>
      </w:rPr>
    </w:pPr>
    <w:r>
      <w:tab/>
    </w:r>
    <w:r>
      <w:tab/>
    </w:r>
    <w:r w:rsidR="00E20D86">
      <w:fldChar w:fldCharType="begin"/>
    </w:r>
    <w:r w:rsidR="00E20D86">
      <w:instrText xml:space="preserve"> PAGE   \* MERGEFORMAT </w:instrText>
    </w:r>
    <w:r w:rsidR="00E20D86">
      <w:fldChar w:fldCharType="separate"/>
    </w:r>
    <w:r w:rsidR="005F5D80" w:rsidRPr="005F5D80">
      <w:rPr>
        <w:rFonts w:ascii="Arial" w:hAnsi="Arial" w:cs="Arial"/>
        <w:noProof/>
        <w:sz w:val="20"/>
        <w:szCs w:val="20"/>
      </w:rPr>
      <w:t>1</w:t>
    </w:r>
    <w:r w:rsidR="00E20D86">
      <w:rPr>
        <w:rFonts w:ascii="Arial" w:hAnsi="Arial" w:cs="Arial"/>
        <w:noProof/>
        <w:sz w:val="20"/>
        <w:szCs w:val="20"/>
      </w:rPr>
      <w:fldChar w:fldCharType="end"/>
    </w:r>
  </w:p>
  <w:p w14:paraId="7DE6D403" w14:textId="77777777" w:rsidR="00E20D86" w:rsidRPr="00C63556" w:rsidRDefault="00E20D86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FD11" w14:textId="77777777" w:rsidR="008E12A1" w:rsidRDefault="008E12A1">
      <w:pPr>
        <w:spacing w:after="0" w:line="240" w:lineRule="auto"/>
      </w:pPr>
      <w:r>
        <w:separator/>
      </w:r>
    </w:p>
  </w:footnote>
  <w:footnote w:type="continuationSeparator" w:id="0">
    <w:p w14:paraId="5F539B98" w14:textId="77777777" w:rsidR="008E12A1" w:rsidRDefault="008E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32"/>
    <w:multiLevelType w:val="hybridMultilevel"/>
    <w:tmpl w:val="3774CDA0"/>
    <w:lvl w:ilvl="0" w:tplc="8326CA02">
      <w:start w:val="5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D39"/>
    <w:multiLevelType w:val="hybridMultilevel"/>
    <w:tmpl w:val="8F203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CF1"/>
    <w:multiLevelType w:val="hybridMultilevel"/>
    <w:tmpl w:val="E9F6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3571"/>
    <w:multiLevelType w:val="hybridMultilevel"/>
    <w:tmpl w:val="F454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74E6"/>
    <w:multiLevelType w:val="hybridMultilevel"/>
    <w:tmpl w:val="D7765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55C3"/>
    <w:multiLevelType w:val="hybridMultilevel"/>
    <w:tmpl w:val="0374E2C2"/>
    <w:lvl w:ilvl="0" w:tplc="A9FC94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1E0F"/>
    <w:multiLevelType w:val="hybridMultilevel"/>
    <w:tmpl w:val="111CC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2B16"/>
    <w:multiLevelType w:val="hybridMultilevel"/>
    <w:tmpl w:val="7A78E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15A0"/>
    <w:multiLevelType w:val="hybridMultilevel"/>
    <w:tmpl w:val="AC7E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C070E"/>
    <w:multiLevelType w:val="hybridMultilevel"/>
    <w:tmpl w:val="F9CC8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E628F"/>
    <w:multiLevelType w:val="hybridMultilevel"/>
    <w:tmpl w:val="5B84306A"/>
    <w:lvl w:ilvl="0" w:tplc="5712E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5F8A"/>
    <w:multiLevelType w:val="hybridMultilevel"/>
    <w:tmpl w:val="D814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F214C"/>
    <w:multiLevelType w:val="hybridMultilevel"/>
    <w:tmpl w:val="1806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C3BD5"/>
    <w:multiLevelType w:val="hybridMultilevel"/>
    <w:tmpl w:val="9968D580"/>
    <w:lvl w:ilvl="0" w:tplc="0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4" w15:restartNumberingAfterBreak="0">
    <w:nsid w:val="5C2A7D6D"/>
    <w:multiLevelType w:val="hybridMultilevel"/>
    <w:tmpl w:val="A008C7E6"/>
    <w:lvl w:ilvl="0" w:tplc="9F3086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44A0A"/>
    <w:multiLevelType w:val="hybridMultilevel"/>
    <w:tmpl w:val="68CC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E70B4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19B0"/>
    <w:multiLevelType w:val="hybridMultilevel"/>
    <w:tmpl w:val="6572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371B3"/>
    <w:multiLevelType w:val="hybridMultilevel"/>
    <w:tmpl w:val="05F03456"/>
    <w:lvl w:ilvl="0" w:tplc="C72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3077806">
    <w:abstractNumId w:val="13"/>
  </w:num>
  <w:num w:numId="2" w16cid:durableId="147597804">
    <w:abstractNumId w:val="8"/>
  </w:num>
  <w:num w:numId="3" w16cid:durableId="920138231">
    <w:abstractNumId w:val="10"/>
  </w:num>
  <w:num w:numId="4" w16cid:durableId="1671372391">
    <w:abstractNumId w:val="11"/>
  </w:num>
  <w:num w:numId="5" w16cid:durableId="1371615108">
    <w:abstractNumId w:val="4"/>
  </w:num>
  <w:num w:numId="6" w16cid:durableId="637690389">
    <w:abstractNumId w:val="7"/>
  </w:num>
  <w:num w:numId="7" w16cid:durableId="1399093139">
    <w:abstractNumId w:val="3"/>
  </w:num>
  <w:num w:numId="8" w16cid:durableId="2117212852">
    <w:abstractNumId w:val="5"/>
  </w:num>
  <w:num w:numId="9" w16cid:durableId="275872801">
    <w:abstractNumId w:val="14"/>
  </w:num>
  <w:num w:numId="10" w16cid:durableId="1210000385">
    <w:abstractNumId w:val="16"/>
  </w:num>
  <w:num w:numId="11" w16cid:durableId="1893425026">
    <w:abstractNumId w:val="9"/>
  </w:num>
  <w:num w:numId="12" w16cid:durableId="1740591586">
    <w:abstractNumId w:val="15"/>
  </w:num>
  <w:num w:numId="13" w16cid:durableId="807160861">
    <w:abstractNumId w:val="1"/>
  </w:num>
  <w:num w:numId="14" w16cid:durableId="1537081466">
    <w:abstractNumId w:val="12"/>
  </w:num>
  <w:num w:numId="15" w16cid:durableId="2120449026">
    <w:abstractNumId w:val="17"/>
  </w:num>
  <w:num w:numId="16" w16cid:durableId="1567109703">
    <w:abstractNumId w:val="6"/>
  </w:num>
  <w:num w:numId="17" w16cid:durableId="925572759">
    <w:abstractNumId w:val="2"/>
  </w:num>
  <w:num w:numId="18" w16cid:durableId="455224792">
    <w:abstractNumId w:val="0"/>
  </w:num>
  <w:num w:numId="19" w16cid:durableId="194663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5B"/>
    <w:rsid w:val="00003C77"/>
    <w:rsid w:val="000045C7"/>
    <w:rsid w:val="0000580D"/>
    <w:rsid w:val="00005C04"/>
    <w:rsid w:val="00006362"/>
    <w:rsid w:val="00007A0D"/>
    <w:rsid w:val="00007BE6"/>
    <w:rsid w:val="000101A2"/>
    <w:rsid w:val="000119A1"/>
    <w:rsid w:val="00012865"/>
    <w:rsid w:val="00015C9C"/>
    <w:rsid w:val="00020477"/>
    <w:rsid w:val="0002064E"/>
    <w:rsid w:val="00020AA1"/>
    <w:rsid w:val="00022C92"/>
    <w:rsid w:val="00024B7B"/>
    <w:rsid w:val="00026C14"/>
    <w:rsid w:val="00027082"/>
    <w:rsid w:val="00027A66"/>
    <w:rsid w:val="0003073E"/>
    <w:rsid w:val="0003255D"/>
    <w:rsid w:val="000429EA"/>
    <w:rsid w:val="0004382B"/>
    <w:rsid w:val="00044262"/>
    <w:rsid w:val="00046BA5"/>
    <w:rsid w:val="00050B0B"/>
    <w:rsid w:val="000532BA"/>
    <w:rsid w:val="00053322"/>
    <w:rsid w:val="00053B46"/>
    <w:rsid w:val="000542A8"/>
    <w:rsid w:val="00056528"/>
    <w:rsid w:val="0005686E"/>
    <w:rsid w:val="0005717F"/>
    <w:rsid w:val="0006371D"/>
    <w:rsid w:val="000650D8"/>
    <w:rsid w:val="000656A3"/>
    <w:rsid w:val="00065BC3"/>
    <w:rsid w:val="00070BCC"/>
    <w:rsid w:val="00071FB2"/>
    <w:rsid w:val="00072BB1"/>
    <w:rsid w:val="000736D8"/>
    <w:rsid w:val="00074480"/>
    <w:rsid w:val="0007554F"/>
    <w:rsid w:val="0007648F"/>
    <w:rsid w:val="00076691"/>
    <w:rsid w:val="000801FD"/>
    <w:rsid w:val="00080CF3"/>
    <w:rsid w:val="000819BE"/>
    <w:rsid w:val="00083A1E"/>
    <w:rsid w:val="0008480A"/>
    <w:rsid w:val="00084E99"/>
    <w:rsid w:val="00086029"/>
    <w:rsid w:val="00086490"/>
    <w:rsid w:val="00090412"/>
    <w:rsid w:val="00090544"/>
    <w:rsid w:val="00091104"/>
    <w:rsid w:val="00091330"/>
    <w:rsid w:val="000914EF"/>
    <w:rsid w:val="00091E05"/>
    <w:rsid w:val="000929DA"/>
    <w:rsid w:val="00092BE9"/>
    <w:rsid w:val="00092D39"/>
    <w:rsid w:val="00092EDF"/>
    <w:rsid w:val="00093510"/>
    <w:rsid w:val="000A068D"/>
    <w:rsid w:val="000A1271"/>
    <w:rsid w:val="000A1C5D"/>
    <w:rsid w:val="000A3503"/>
    <w:rsid w:val="000A4080"/>
    <w:rsid w:val="000A64A7"/>
    <w:rsid w:val="000A75B1"/>
    <w:rsid w:val="000A7BA8"/>
    <w:rsid w:val="000A7BBB"/>
    <w:rsid w:val="000B159C"/>
    <w:rsid w:val="000B2464"/>
    <w:rsid w:val="000B3BFD"/>
    <w:rsid w:val="000B6658"/>
    <w:rsid w:val="000C3CB6"/>
    <w:rsid w:val="000C41A9"/>
    <w:rsid w:val="000C4B9A"/>
    <w:rsid w:val="000C615F"/>
    <w:rsid w:val="000D1768"/>
    <w:rsid w:val="000D2DB4"/>
    <w:rsid w:val="000D6C83"/>
    <w:rsid w:val="000D7307"/>
    <w:rsid w:val="000E01D4"/>
    <w:rsid w:val="000E02C4"/>
    <w:rsid w:val="000E032E"/>
    <w:rsid w:val="000E0A8F"/>
    <w:rsid w:val="000E191A"/>
    <w:rsid w:val="000E22B7"/>
    <w:rsid w:val="000E325A"/>
    <w:rsid w:val="000E5FE5"/>
    <w:rsid w:val="000E6C7C"/>
    <w:rsid w:val="000E79E3"/>
    <w:rsid w:val="000F0041"/>
    <w:rsid w:val="000F211B"/>
    <w:rsid w:val="000F28B7"/>
    <w:rsid w:val="000F37F9"/>
    <w:rsid w:val="000F4630"/>
    <w:rsid w:val="000F4A28"/>
    <w:rsid w:val="000F4B40"/>
    <w:rsid w:val="000F5DB2"/>
    <w:rsid w:val="001017AE"/>
    <w:rsid w:val="00102127"/>
    <w:rsid w:val="001028D7"/>
    <w:rsid w:val="00103131"/>
    <w:rsid w:val="00103CA6"/>
    <w:rsid w:val="00105B9D"/>
    <w:rsid w:val="00107ED6"/>
    <w:rsid w:val="001107A1"/>
    <w:rsid w:val="00111318"/>
    <w:rsid w:val="00112CCB"/>
    <w:rsid w:val="00112E73"/>
    <w:rsid w:val="00113360"/>
    <w:rsid w:val="00114008"/>
    <w:rsid w:val="00115930"/>
    <w:rsid w:val="00120B0C"/>
    <w:rsid w:val="001212E8"/>
    <w:rsid w:val="00127D64"/>
    <w:rsid w:val="001306CE"/>
    <w:rsid w:val="00131479"/>
    <w:rsid w:val="001347FC"/>
    <w:rsid w:val="00135044"/>
    <w:rsid w:val="001379D9"/>
    <w:rsid w:val="0014013C"/>
    <w:rsid w:val="001406DB"/>
    <w:rsid w:val="00141DD4"/>
    <w:rsid w:val="00143230"/>
    <w:rsid w:val="00144345"/>
    <w:rsid w:val="0014458D"/>
    <w:rsid w:val="00145749"/>
    <w:rsid w:val="00145AB4"/>
    <w:rsid w:val="0014762F"/>
    <w:rsid w:val="001502AF"/>
    <w:rsid w:val="00150E0D"/>
    <w:rsid w:val="00152990"/>
    <w:rsid w:val="00152AC4"/>
    <w:rsid w:val="00153BB1"/>
    <w:rsid w:val="0015582B"/>
    <w:rsid w:val="00155921"/>
    <w:rsid w:val="00157BEF"/>
    <w:rsid w:val="00160AE7"/>
    <w:rsid w:val="00164048"/>
    <w:rsid w:val="00164C78"/>
    <w:rsid w:val="001653F0"/>
    <w:rsid w:val="001679CC"/>
    <w:rsid w:val="00167D19"/>
    <w:rsid w:val="00167D97"/>
    <w:rsid w:val="0017095A"/>
    <w:rsid w:val="00172D62"/>
    <w:rsid w:val="00175323"/>
    <w:rsid w:val="00175E05"/>
    <w:rsid w:val="0018403A"/>
    <w:rsid w:val="00184060"/>
    <w:rsid w:val="00184587"/>
    <w:rsid w:val="001850DD"/>
    <w:rsid w:val="00185AAD"/>
    <w:rsid w:val="00185B37"/>
    <w:rsid w:val="00193B98"/>
    <w:rsid w:val="001940F3"/>
    <w:rsid w:val="00195BD3"/>
    <w:rsid w:val="001965F0"/>
    <w:rsid w:val="00196886"/>
    <w:rsid w:val="00196D08"/>
    <w:rsid w:val="00196F5E"/>
    <w:rsid w:val="001970C2"/>
    <w:rsid w:val="001972FE"/>
    <w:rsid w:val="001A05F4"/>
    <w:rsid w:val="001A0A5D"/>
    <w:rsid w:val="001A10D3"/>
    <w:rsid w:val="001A15D8"/>
    <w:rsid w:val="001A1BAE"/>
    <w:rsid w:val="001A3C47"/>
    <w:rsid w:val="001A4D24"/>
    <w:rsid w:val="001A532F"/>
    <w:rsid w:val="001A6106"/>
    <w:rsid w:val="001A743A"/>
    <w:rsid w:val="001A7779"/>
    <w:rsid w:val="001B01E6"/>
    <w:rsid w:val="001B1F97"/>
    <w:rsid w:val="001B36DD"/>
    <w:rsid w:val="001B3973"/>
    <w:rsid w:val="001B5617"/>
    <w:rsid w:val="001B67FF"/>
    <w:rsid w:val="001B7F35"/>
    <w:rsid w:val="001C0006"/>
    <w:rsid w:val="001C17D2"/>
    <w:rsid w:val="001C2644"/>
    <w:rsid w:val="001C2C21"/>
    <w:rsid w:val="001C329A"/>
    <w:rsid w:val="001C5C60"/>
    <w:rsid w:val="001C5F10"/>
    <w:rsid w:val="001C6036"/>
    <w:rsid w:val="001C613D"/>
    <w:rsid w:val="001D53C8"/>
    <w:rsid w:val="001D67E3"/>
    <w:rsid w:val="001E0336"/>
    <w:rsid w:val="001E159C"/>
    <w:rsid w:val="001E25A2"/>
    <w:rsid w:val="001E5F51"/>
    <w:rsid w:val="001E7586"/>
    <w:rsid w:val="001F10E3"/>
    <w:rsid w:val="001F1DC3"/>
    <w:rsid w:val="001F2BBC"/>
    <w:rsid w:val="001F4369"/>
    <w:rsid w:val="00201DAF"/>
    <w:rsid w:val="002029CD"/>
    <w:rsid w:val="002056DB"/>
    <w:rsid w:val="00206DB2"/>
    <w:rsid w:val="00214701"/>
    <w:rsid w:val="00215963"/>
    <w:rsid w:val="00215B77"/>
    <w:rsid w:val="00216E35"/>
    <w:rsid w:val="0021748B"/>
    <w:rsid w:val="00217AA4"/>
    <w:rsid w:val="0022047F"/>
    <w:rsid w:val="00221B7A"/>
    <w:rsid w:val="00221D17"/>
    <w:rsid w:val="00222E99"/>
    <w:rsid w:val="00225355"/>
    <w:rsid w:val="002259F0"/>
    <w:rsid w:val="002261B5"/>
    <w:rsid w:val="002263B2"/>
    <w:rsid w:val="002264B0"/>
    <w:rsid w:val="002272AB"/>
    <w:rsid w:val="00230E69"/>
    <w:rsid w:val="00233845"/>
    <w:rsid w:val="00235927"/>
    <w:rsid w:val="0023648B"/>
    <w:rsid w:val="00240DAA"/>
    <w:rsid w:val="00241E72"/>
    <w:rsid w:val="0024314F"/>
    <w:rsid w:val="00246ED3"/>
    <w:rsid w:val="0024753B"/>
    <w:rsid w:val="00247A2E"/>
    <w:rsid w:val="00250897"/>
    <w:rsid w:val="00250AEC"/>
    <w:rsid w:val="00251B26"/>
    <w:rsid w:val="00253566"/>
    <w:rsid w:val="002548B8"/>
    <w:rsid w:val="00256CDA"/>
    <w:rsid w:val="002605F2"/>
    <w:rsid w:val="00261ABC"/>
    <w:rsid w:val="00263A97"/>
    <w:rsid w:val="00264D09"/>
    <w:rsid w:val="00270799"/>
    <w:rsid w:val="0027253F"/>
    <w:rsid w:val="00272A0C"/>
    <w:rsid w:val="00273FA2"/>
    <w:rsid w:val="002743C3"/>
    <w:rsid w:val="002749C6"/>
    <w:rsid w:val="00275868"/>
    <w:rsid w:val="002769F7"/>
    <w:rsid w:val="00277A1A"/>
    <w:rsid w:val="002812C5"/>
    <w:rsid w:val="0028253D"/>
    <w:rsid w:val="00282597"/>
    <w:rsid w:val="00282EFC"/>
    <w:rsid w:val="002837AE"/>
    <w:rsid w:val="002844A0"/>
    <w:rsid w:val="0028664E"/>
    <w:rsid w:val="002913CE"/>
    <w:rsid w:val="00291CA8"/>
    <w:rsid w:val="00291F12"/>
    <w:rsid w:val="002940C8"/>
    <w:rsid w:val="00295AA7"/>
    <w:rsid w:val="002A0CCB"/>
    <w:rsid w:val="002A189A"/>
    <w:rsid w:val="002A251E"/>
    <w:rsid w:val="002A37D6"/>
    <w:rsid w:val="002A37F9"/>
    <w:rsid w:val="002A40EA"/>
    <w:rsid w:val="002A5970"/>
    <w:rsid w:val="002A74A4"/>
    <w:rsid w:val="002A74C1"/>
    <w:rsid w:val="002A7C6F"/>
    <w:rsid w:val="002B1C8A"/>
    <w:rsid w:val="002B3498"/>
    <w:rsid w:val="002B4692"/>
    <w:rsid w:val="002B5582"/>
    <w:rsid w:val="002C3633"/>
    <w:rsid w:val="002C4524"/>
    <w:rsid w:val="002C4C61"/>
    <w:rsid w:val="002C6B29"/>
    <w:rsid w:val="002C7A0A"/>
    <w:rsid w:val="002D02D6"/>
    <w:rsid w:val="002D0812"/>
    <w:rsid w:val="002D1246"/>
    <w:rsid w:val="002D27C1"/>
    <w:rsid w:val="002D499D"/>
    <w:rsid w:val="002D51DB"/>
    <w:rsid w:val="002D5B60"/>
    <w:rsid w:val="002D77D9"/>
    <w:rsid w:val="002D7D2B"/>
    <w:rsid w:val="002E0735"/>
    <w:rsid w:val="002E1BFB"/>
    <w:rsid w:val="002E1E54"/>
    <w:rsid w:val="002E2368"/>
    <w:rsid w:val="002E2A83"/>
    <w:rsid w:val="002E3354"/>
    <w:rsid w:val="002E3950"/>
    <w:rsid w:val="002E3FC4"/>
    <w:rsid w:val="002E47CE"/>
    <w:rsid w:val="002E498F"/>
    <w:rsid w:val="002E4E94"/>
    <w:rsid w:val="002E5420"/>
    <w:rsid w:val="002E58BA"/>
    <w:rsid w:val="002E5AA6"/>
    <w:rsid w:val="002E6FB4"/>
    <w:rsid w:val="002E7915"/>
    <w:rsid w:val="002E7D49"/>
    <w:rsid w:val="002F0486"/>
    <w:rsid w:val="002F0786"/>
    <w:rsid w:val="002F13EA"/>
    <w:rsid w:val="002F1737"/>
    <w:rsid w:val="002F2C7A"/>
    <w:rsid w:val="002F4312"/>
    <w:rsid w:val="002F5A01"/>
    <w:rsid w:val="002F6012"/>
    <w:rsid w:val="002F608B"/>
    <w:rsid w:val="00300F77"/>
    <w:rsid w:val="00303D0C"/>
    <w:rsid w:val="00303F41"/>
    <w:rsid w:val="003040AA"/>
    <w:rsid w:val="00304C09"/>
    <w:rsid w:val="003057F2"/>
    <w:rsid w:val="00305BCB"/>
    <w:rsid w:val="00311DCF"/>
    <w:rsid w:val="00313EFA"/>
    <w:rsid w:val="00315180"/>
    <w:rsid w:val="00317327"/>
    <w:rsid w:val="003204D9"/>
    <w:rsid w:val="003205BF"/>
    <w:rsid w:val="00321F0F"/>
    <w:rsid w:val="00322513"/>
    <w:rsid w:val="00322F10"/>
    <w:rsid w:val="0032384C"/>
    <w:rsid w:val="00324134"/>
    <w:rsid w:val="00324614"/>
    <w:rsid w:val="00324A31"/>
    <w:rsid w:val="00325FD1"/>
    <w:rsid w:val="00327849"/>
    <w:rsid w:val="0033068C"/>
    <w:rsid w:val="003308BE"/>
    <w:rsid w:val="00331E59"/>
    <w:rsid w:val="003329F5"/>
    <w:rsid w:val="0033300C"/>
    <w:rsid w:val="00334346"/>
    <w:rsid w:val="003367D3"/>
    <w:rsid w:val="003414D0"/>
    <w:rsid w:val="00345105"/>
    <w:rsid w:val="00345A41"/>
    <w:rsid w:val="003466D4"/>
    <w:rsid w:val="00346708"/>
    <w:rsid w:val="00347CA4"/>
    <w:rsid w:val="00356709"/>
    <w:rsid w:val="00361FEA"/>
    <w:rsid w:val="00362187"/>
    <w:rsid w:val="00362281"/>
    <w:rsid w:val="00362343"/>
    <w:rsid w:val="00362418"/>
    <w:rsid w:val="003629EC"/>
    <w:rsid w:val="00363019"/>
    <w:rsid w:val="00363A03"/>
    <w:rsid w:val="00363F5B"/>
    <w:rsid w:val="00364D3B"/>
    <w:rsid w:val="003709BE"/>
    <w:rsid w:val="003713E2"/>
    <w:rsid w:val="003716C9"/>
    <w:rsid w:val="00371A59"/>
    <w:rsid w:val="00373032"/>
    <w:rsid w:val="00373328"/>
    <w:rsid w:val="00373B1C"/>
    <w:rsid w:val="00374D6C"/>
    <w:rsid w:val="00375E76"/>
    <w:rsid w:val="0037773C"/>
    <w:rsid w:val="00382A99"/>
    <w:rsid w:val="00382E76"/>
    <w:rsid w:val="00382F49"/>
    <w:rsid w:val="003836F4"/>
    <w:rsid w:val="00385928"/>
    <w:rsid w:val="003861E2"/>
    <w:rsid w:val="00386F4D"/>
    <w:rsid w:val="0038750D"/>
    <w:rsid w:val="003878BF"/>
    <w:rsid w:val="00390DAB"/>
    <w:rsid w:val="00390E3F"/>
    <w:rsid w:val="0039130E"/>
    <w:rsid w:val="003933C1"/>
    <w:rsid w:val="00393904"/>
    <w:rsid w:val="00393B47"/>
    <w:rsid w:val="003942AD"/>
    <w:rsid w:val="003949BE"/>
    <w:rsid w:val="00394F0B"/>
    <w:rsid w:val="003956DD"/>
    <w:rsid w:val="00397814"/>
    <w:rsid w:val="003A0AF0"/>
    <w:rsid w:val="003A1C30"/>
    <w:rsid w:val="003A1CE1"/>
    <w:rsid w:val="003A5AD6"/>
    <w:rsid w:val="003A68BD"/>
    <w:rsid w:val="003B0566"/>
    <w:rsid w:val="003B0A8D"/>
    <w:rsid w:val="003B1206"/>
    <w:rsid w:val="003B2210"/>
    <w:rsid w:val="003B223D"/>
    <w:rsid w:val="003B2A97"/>
    <w:rsid w:val="003B4AAC"/>
    <w:rsid w:val="003B4B2C"/>
    <w:rsid w:val="003B731F"/>
    <w:rsid w:val="003B7894"/>
    <w:rsid w:val="003C06F5"/>
    <w:rsid w:val="003C08D3"/>
    <w:rsid w:val="003C112E"/>
    <w:rsid w:val="003C2A64"/>
    <w:rsid w:val="003C5380"/>
    <w:rsid w:val="003C5460"/>
    <w:rsid w:val="003C62FE"/>
    <w:rsid w:val="003C6716"/>
    <w:rsid w:val="003D0038"/>
    <w:rsid w:val="003D0D9A"/>
    <w:rsid w:val="003D10CD"/>
    <w:rsid w:val="003D2A28"/>
    <w:rsid w:val="003D2D4E"/>
    <w:rsid w:val="003D313E"/>
    <w:rsid w:val="003D4508"/>
    <w:rsid w:val="003D4EC4"/>
    <w:rsid w:val="003E088E"/>
    <w:rsid w:val="003E14AE"/>
    <w:rsid w:val="003E2F3C"/>
    <w:rsid w:val="003E369C"/>
    <w:rsid w:val="003E499E"/>
    <w:rsid w:val="003E4C10"/>
    <w:rsid w:val="003E4E8E"/>
    <w:rsid w:val="003E5746"/>
    <w:rsid w:val="003E6494"/>
    <w:rsid w:val="003E7128"/>
    <w:rsid w:val="003E74C4"/>
    <w:rsid w:val="003F168E"/>
    <w:rsid w:val="003F1966"/>
    <w:rsid w:val="003F1F4A"/>
    <w:rsid w:val="003F41F1"/>
    <w:rsid w:val="003F427E"/>
    <w:rsid w:val="003F43C1"/>
    <w:rsid w:val="003F4A95"/>
    <w:rsid w:val="003F6B81"/>
    <w:rsid w:val="0040130E"/>
    <w:rsid w:val="004015A0"/>
    <w:rsid w:val="00403726"/>
    <w:rsid w:val="00404EAD"/>
    <w:rsid w:val="0040622E"/>
    <w:rsid w:val="0040638F"/>
    <w:rsid w:val="00406B21"/>
    <w:rsid w:val="00407139"/>
    <w:rsid w:val="00407901"/>
    <w:rsid w:val="00410348"/>
    <w:rsid w:val="004107F5"/>
    <w:rsid w:val="00413470"/>
    <w:rsid w:val="00414EC5"/>
    <w:rsid w:val="00416837"/>
    <w:rsid w:val="00416FE8"/>
    <w:rsid w:val="004176FC"/>
    <w:rsid w:val="00421217"/>
    <w:rsid w:val="00421F5D"/>
    <w:rsid w:val="00422A2F"/>
    <w:rsid w:val="00423714"/>
    <w:rsid w:val="00423870"/>
    <w:rsid w:val="0042513B"/>
    <w:rsid w:val="00425BA0"/>
    <w:rsid w:val="00426467"/>
    <w:rsid w:val="00426A39"/>
    <w:rsid w:val="00426B94"/>
    <w:rsid w:val="0042765A"/>
    <w:rsid w:val="00427A78"/>
    <w:rsid w:val="004301C8"/>
    <w:rsid w:val="0043173F"/>
    <w:rsid w:val="00431E14"/>
    <w:rsid w:val="004320C4"/>
    <w:rsid w:val="0043236D"/>
    <w:rsid w:val="00434544"/>
    <w:rsid w:val="004346F6"/>
    <w:rsid w:val="0043588C"/>
    <w:rsid w:val="00435F91"/>
    <w:rsid w:val="00437322"/>
    <w:rsid w:val="00437532"/>
    <w:rsid w:val="004403D3"/>
    <w:rsid w:val="00441760"/>
    <w:rsid w:val="00441F11"/>
    <w:rsid w:val="004420A0"/>
    <w:rsid w:val="00442603"/>
    <w:rsid w:val="00442E19"/>
    <w:rsid w:val="00443605"/>
    <w:rsid w:val="004437AF"/>
    <w:rsid w:val="004448C7"/>
    <w:rsid w:val="00445E63"/>
    <w:rsid w:val="004472DB"/>
    <w:rsid w:val="0044742A"/>
    <w:rsid w:val="00447677"/>
    <w:rsid w:val="0044785A"/>
    <w:rsid w:val="00451C63"/>
    <w:rsid w:val="00454BA6"/>
    <w:rsid w:val="004560B9"/>
    <w:rsid w:val="004563BF"/>
    <w:rsid w:val="0045694E"/>
    <w:rsid w:val="004602E9"/>
    <w:rsid w:val="004605B7"/>
    <w:rsid w:val="00462A4B"/>
    <w:rsid w:val="00462E91"/>
    <w:rsid w:val="00463D36"/>
    <w:rsid w:val="00463F2B"/>
    <w:rsid w:val="0046472D"/>
    <w:rsid w:val="00465807"/>
    <w:rsid w:val="00466128"/>
    <w:rsid w:val="00470171"/>
    <w:rsid w:val="00470550"/>
    <w:rsid w:val="00471007"/>
    <w:rsid w:val="00471EE2"/>
    <w:rsid w:val="004749EB"/>
    <w:rsid w:val="00474B25"/>
    <w:rsid w:val="00475B47"/>
    <w:rsid w:val="00476ACD"/>
    <w:rsid w:val="00480D18"/>
    <w:rsid w:val="00481010"/>
    <w:rsid w:val="00483178"/>
    <w:rsid w:val="0048324E"/>
    <w:rsid w:val="004846A4"/>
    <w:rsid w:val="00484BA0"/>
    <w:rsid w:val="004857FD"/>
    <w:rsid w:val="00487350"/>
    <w:rsid w:val="0048737E"/>
    <w:rsid w:val="00487D1E"/>
    <w:rsid w:val="00487E84"/>
    <w:rsid w:val="004915B5"/>
    <w:rsid w:val="004916F6"/>
    <w:rsid w:val="004935A7"/>
    <w:rsid w:val="0049470D"/>
    <w:rsid w:val="0049591C"/>
    <w:rsid w:val="00496548"/>
    <w:rsid w:val="00497302"/>
    <w:rsid w:val="004A1ED6"/>
    <w:rsid w:val="004A3377"/>
    <w:rsid w:val="004A515C"/>
    <w:rsid w:val="004B0BDE"/>
    <w:rsid w:val="004B32B6"/>
    <w:rsid w:val="004B4B8E"/>
    <w:rsid w:val="004B5162"/>
    <w:rsid w:val="004B7927"/>
    <w:rsid w:val="004C0838"/>
    <w:rsid w:val="004C1138"/>
    <w:rsid w:val="004C4366"/>
    <w:rsid w:val="004C4A41"/>
    <w:rsid w:val="004C4DDC"/>
    <w:rsid w:val="004D06B0"/>
    <w:rsid w:val="004D18AE"/>
    <w:rsid w:val="004D1999"/>
    <w:rsid w:val="004D370A"/>
    <w:rsid w:val="004D3E40"/>
    <w:rsid w:val="004D502D"/>
    <w:rsid w:val="004D5448"/>
    <w:rsid w:val="004D626F"/>
    <w:rsid w:val="004E13E0"/>
    <w:rsid w:val="004E1963"/>
    <w:rsid w:val="004E1BE0"/>
    <w:rsid w:val="004E2023"/>
    <w:rsid w:val="004E3B5B"/>
    <w:rsid w:val="004E4B74"/>
    <w:rsid w:val="004E5689"/>
    <w:rsid w:val="004E64EA"/>
    <w:rsid w:val="004F07E0"/>
    <w:rsid w:val="004F2146"/>
    <w:rsid w:val="004F2810"/>
    <w:rsid w:val="004F30AF"/>
    <w:rsid w:val="004F5E2C"/>
    <w:rsid w:val="004F633F"/>
    <w:rsid w:val="00501602"/>
    <w:rsid w:val="00503B5C"/>
    <w:rsid w:val="00503D9F"/>
    <w:rsid w:val="00503F85"/>
    <w:rsid w:val="0050488E"/>
    <w:rsid w:val="00505C25"/>
    <w:rsid w:val="00507E3F"/>
    <w:rsid w:val="00510B94"/>
    <w:rsid w:val="005110C8"/>
    <w:rsid w:val="00511A70"/>
    <w:rsid w:val="00513788"/>
    <w:rsid w:val="005138EF"/>
    <w:rsid w:val="0052047C"/>
    <w:rsid w:val="00521273"/>
    <w:rsid w:val="00521D49"/>
    <w:rsid w:val="00521DB0"/>
    <w:rsid w:val="00523018"/>
    <w:rsid w:val="00525609"/>
    <w:rsid w:val="00526022"/>
    <w:rsid w:val="00530046"/>
    <w:rsid w:val="00530744"/>
    <w:rsid w:val="00530AA5"/>
    <w:rsid w:val="0053249B"/>
    <w:rsid w:val="005334FA"/>
    <w:rsid w:val="00533D0B"/>
    <w:rsid w:val="005403B6"/>
    <w:rsid w:val="00542562"/>
    <w:rsid w:val="00543B79"/>
    <w:rsid w:val="00543E28"/>
    <w:rsid w:val="00543F91"/>
    <w:rsid w:val="0054400A"/>
    <w:rsid w:val="005454EE"/>
    <w:rsid w:val="00546414"/>
    <w:rsid w:val="00546CF5"/>
    <w:rsid w:val="0054747D"/>
    <w:rsid w:val="00550C6E"/>
    <w:rsid w:val="00552111"/>
    <w:rsid w:val="00552C19"/>
    <w:rsid w:val="00554922"/>
    <w:rsid w:val="00556C26"/>
    <w:rsid w:val="00560D5F"/>
    <w:rsid w:val="0056252A"/>
    <w:rsid w:val="00562892"/>
    <w:rsid w:val="0056303B"/>
    <w:rsid w:val="00563F94"/>
    <w:rsid w:val="005643DF"/>
    <w:rsid w:val="00564884"/>
    <w:rsid w:val="0056683A"/>
    <w:rsid w:val="00570A82"/>
    <w:rsid w:val="00570E69"/>
    <w:rsid w:val="00571CA5"/>
    <w:rsid w:val="00571F7B"/>
    <w:rsid w:val="005725C1"/>
    <w:rsid w:val="00572970"/>
    <w:rsid w:val="00572A18"/>
    <w:rsid w:val="00574E91"/>
    <w:rsid w:val="0057516D"/>
    <w:rsid w:val="00575D12"/>
    <w:rsid w:val="00577A98"/>
    <w:rsid w:val="005810C5"/>
    <w:rsid w:val="00582744"/>
    <w:rsid w:val="00583431"/>
    <w:rsid w:val="005840BF"/>
    <w:rsid w:val="00585C0F"/>
    <w:rsid w:val="005862A9"/>
    <w:rsid w:val="00587032"/>
    <w:rsid w:val="00591408"/>
    <w:rsid w:val="00591890"/>
    <w:rsid w:val="005919D8"/>
    <w:rsid w:val="00591B67"/>
    <w:rsid w:val="005929E5"/>
    <w:rsid w:val="00592AD1"/>
    <w:rsid w:val="00593981"/>
    <w:rsid w:val="0059428B"/>
    <w:rsid w:val="00595B38"/>
    <w:rsid w:val="00595E35"/>
    <w:rsid w:val="005A175F"/>
    <w:rsid w:val="005A3E93"/>
    <w:rsid w:val="005A5AD0"/>
    <w:rsid w:val="005A5DD9"/>
    <w:rsid w:val="005A6AA5"/>
    <w:rsid w:val="005A71A6"/>
    <w:rsid w:val="005A731C"/>
    <w:rsid w:val="005A7736"/>
    <w:rsid w:val="005A789A"/>
    <w:rsid w:val="005B00EB"/>
    <w:rsid w:val="005B0EC7"/>
    <w:rsid w:val="005B3477"/>
    <w:rsid w:val="005B3FEE"/>
    <w:rsid w:val="005B4375"/>
    <w:rsid w:val="005B4508"/>
    <w:rsid w:val="005B4EDC"/>
    <w:rsid w:val="005B57D1"/>
    <w:rsid w:val="005B77D1"/>
    <w:rsid w:val="005C08FE"/>
    <w:rsid w:val="005C1094"/>
    <w:rsid w:val="005C402B"/>
    <w:rsid w:val="005C70E8"/>
    <w:rsid w:val="005C7CF8"/>
    <w:rsid w:val="005D21C0"/>
    <w:rsid w:val="005D32CC"/>
    <w:rsid w:val="005D3F2B"/>
    <w:rsid w:val="005D6546"/>
    <w:rsid w:val="005E0A0D"/>
    <w:rsid w:val="005E1F42"/>
    <w:rsid w:val="005E35C4"/>
    <w:rsid w:val="005E4114"/>
    <w:rsid w:val="005E4961"/>
    <w:rsid w:val="005E6BDB"/>
    <w:rsid w:val="005E788E"/>
    <w:rsid w:val="005F29C1"/>
    <w:rsid w:val="005F30DB"/>
    <w:rsid w:val="005F59A9"/>
    <w:rsid w:val="005F5D80"/>
    <w:rsid w:val="005F69C3"/>
    <w:rsid w:val="006014CD"/>
    <w:rsid w:val="006025B9"/>
    <w:rsid w:val="00602F56"/>
    <w:rsid w:val="00603067"/>
    <w:rsid w:val="0060308F"/>
    <w:rsid w:val="00603D34"/>
    <w:rsid w:val="006046C7"/>
    <w:rsid w:val="00605666"/>
    <w:rsid w:val="006056DF"/>
    <w:rsid w:val="0060676B"/>
    <w:rsid w:val="006112D8"/>
    <w:rsid w:val="006129E6"/>
    <w:rsid w:val="00612A02"/>
    <w:rsid w:val="006151B0"/>
    <w:rsid w:val="006157BF"/>
    <w:rsid w:val="00616F6E"/>
    <w:rsid w:val="0062059D"/>
    <w:rsid w:val="00620BFC"/>
    <w:rsid w:val="00621ED8"/>
    <w:rsid w:val="006233D4"/>
    <w:rsid w:val="0062381A"/>
    <w:rsid w:val="006245F6"/>
    <w:rsid w:val="00627F23"/>
    <w:rsid w:val="00630069"/>
    <w:rsid w:val="0063057C"/>
    <w:rsid w:val="0063225F"/>
    <w:rsid w:val="006322D7"/>
    <w:rsid w:val="0063247F"/>
    <w:rsid w:val="006327EC"/>
    <w:rsid w:val="00633227"/>
    <w:rsid w:val="0063338C"/>
    <w:rsid w:val="00634FDD"/>
    <w:rsid w:val="00635348"/>
    <w:rsid w:val="00635FA8"/>
    <w:rsid w:val="00636C33"/>
    <w:rsid w:val="006376C7"/>
    <w:rsid w:val="006376D0"/>
    <w:rsid w:val="00640EBA"/>
    <w:rsid w:val="00641450"/>
    <w:rsid w:val="006441CB"/>
    <w:rsid w:val="00644CEF"/>
    <w:rsid w:val="00645922"/>
    <w:rsid w:val="00645C17"/>
    <w:rsid w:val="006467B3"/>
    <w:rsid w:val="00646D93"/>
    <w:rsid w:val="00647E71"/>
    <w:rsid w:val="006508CF"/>
    <w:rsid w:val="00650A9F"/>
    <w:rsid w:val="00654830"/>
    <w:rsid w:val="00655B5D"/>
    <w:rsid w:val="006563DF"/>
    <w:rsid w:val="006566B5"/>
    <w:rsid w:val="00657C3E"/>
    <w:rsid w:val="00661D78"/>
    <w:rsid w:val="006623FB"/>
    <w:rsid w:val="00663781"/>
    <w:rsid w:val="00665D14"/>
    <w:rsid w:val="00667D1F"/>
    <w:rsid w:val="00670D2C"/>
    <w:rsid w:val="0067140E"/>
    <w:rsid w:val="0067393D"/>
    <w:rsid w:val="00673E8D"/>
    <w:rsid w:val="00673EAF"/>
    <w:rsid w:val="00673F26"/>
    <w:rsid w:val="0067405A"/>
    <w:rsid w:val="006752E4"/>
    <w:rsid w:val="00675373"/>
    <w:rsid w:val="0067767F"/>
    <w:rsid w:val="00681FD7"/>
    <w:rsid w:val="006824C4"/>
    <w:rsid w:val="006832A9"/>
    <w:rsid w:val="00683F2E"/>
    <w:rsid w:val="00684751"/>
    <w:rsid w:val="00686277"/>
    <w:rsid w:val="0068750B"/>
    <w:rsid w:val="00690D22"/>
    <w:rsid w:val="00690D47"/>
    <w:rsid w:val="00693445"/>
    <w:rsid w:val="006938CB"/>
    <w:rsid w:val="006940AD"/>
    <w:rsid w:val="006946F6"/>
    <w:rsid w:val="00695F80"/>
    <w:rsid w:val="006A03E1"/>
    <w:rsid w:val="006A15F0"/>
    <w:rsid w:val="006A1FFE"/>
    <w:rsid w:val="006A3773"/>
    <w:rsid w:val="006A3ABA"/>
    <w:rsid w:val="006A3BD2"/>
    <w:rsid w:val="006A50E0"/>
    <w:rsid w:val="006A570D"/>
    <w:rsid w:val="006B10C4"/>
    <w:rsid w:val="006B1C01"/>
    <w:rsid w:val="006B1EFD"/>
    <w:rsid w:val="006B2A37"/>
    <w:rsid w:val="006B2F13"/>
    <w:rsid w:val="006B35A1"/>
    <w:rsid w:val="006B41A2"/>
    <w:rsid w:val="006B4BA5"/>
    <w:rsid w:val="006B67B1"/>
    <w:rsid w:val="006B6AC6"/>
    <w:rsid w:val="006C0AB5"/>
    <w:rsid w:val="006C2189"/>
    <w:rsid w:val="006C2493"/>
    <w:rsid w:val="006C2748"/>
    <w:rsid w:val="006C29A6"/>
    <w:rsid w:val="006C414F"/>
    <w:rsid w:val="006C4FA2"/>
    <w:rsid w:val="006C5807"/>
    <w:rsid w:val="006D0815"/>
    <w:rsid w:val="006D201B"/>
    <w:rsid w:val="006D2499"/>
    <w:rsid w:val="006D2E85"/>
    <w:rsid w:val="006D495C"/>
    <w:rsid w:val="006D5219"/>
    <w:rsid w:val="006D54BF"/>
    <w:rsid w:val="006D7A0E"/>
    <w:rsid w:val="006E44D8"/>
    <w:rsid w:val="006E46FB"/>
    <w:rsid w:val="006E68E5"/>
    <w:rsid w:val="006F2F80"/>
    <w:rsid w:val="006F4784"/>
    <w:rsid w:val="006F6FEA"/>
    <w:rsid w:val="006F7DB2"/>
    <w:rsid w:val="00700238"/>
    <w:rsid w:val="0070176D"/>
    <w:rsid w:val="00701A09"/>
    <w:rsid w:val="00702753"/>
    <w:rsid w:val="007031C4"/>
    <w:rsid w:val="00703A31"/>
    <w:rsid w:val="00704C14"/>
    <w:rsid w:val="00705308"/>
    <w:rsid w:val="007063CD"/>
    <w:rsid w:val="0070699F"/>
    <w:rsid w:val="00707CF1"/>
    <w:rsid w:val="007122EC"/>
    <w:rsid w:val="00712E75"/>
    <w:rsid w:val="007136D4"/>
    <w:rsid w:val="00714576"/>
    <w:rsid w:val="007147AE"/>
    <w:rsid w:val="007148CA"/>
    <w:rsid w:val="00715C80"/>
    <w:rsid w:val="007161C2"/>
    <w:rsid w:val="00716949"/>
    <w:rsid w:val="00720B37"/>
    <w:rsid w:val="00720ECE"/>
    <w:rsid w:val="00722447"/>
    <w:rsid w:val="007228AD"/>
    <w:rsid w:val="00722DAA"/>
    <w:rsid w:val="00730070"/>
    <w:rsid w:val="00730902"/>
    <w:rsid w:val="00731E83"/>
    <w:rsid w:val="0073247D"/>
    <w:rsid w:val="007328EA"/>
    <w:rsid w:val="007330BF"/>
    <w:rsid w:val="007334D0"/>
    <w:rsid w:val="007366BE"/>
    <w:rsid w:val="007375E7"/>
    <w:rsid w:val="00741320"/>
    <w:rsid w:val="007415A9"/>
    <w:rsid w:val="00741B5D"/>
    <w:rsid w:val="00742685"/>
    <w:rsid w:val="007438F2"/>
    <w:rsid w:val="00744026"/>
    <w:rsid w:val="00744237"/>
    <w:rsid w:val="00745916"/>
    <w:rsid w:val="00746B85"/>
    <w:rsid w:val="007471BC"/>
    <w:rsid w:val="0074772A"/>
    <w:rsid w:val="007477DD"/>
    <w:rsid w:val="00747BE6"/>
    <w:rsid w:val="0075087E"/>
    <w:rsid w:val="007515EB"/>
    <w:rsid w:val="0075236F"/>
    <w:rsid w:val="007530CB"/>
    <w:rsid w:val="007539A2"/>
    <w:rsid w:val="007545A9"/>
    <w:rsid w:val="007547C8"/>
    <w:rsid w:val="007562F4"/>
    <w:rsid w:val="0075631C"/>
    <w:rsid w:val="00756A06"/>
    <w:rsid w:val="00760D23"/>
    <w:rsid w:val="00764613"/>
    <w:rsid w:val="00764AFA"/>
    <w:rsid w:val="007660E6"/>
    <w:rsid w:val="007678CD"/>
    <w:rsid w:val="00772036"/>
    <w:rsid w:val="00772CE7"/>
    <w:rsid w:val="00774492"/>
    <w:rsid w:val="007744CA"/>
    <w:rsid w:val="007753C4"/>
    <w:rsid w:val="007754A9"/>
    <w:rsid w:val="00775DDA"/>
    <w:rsid w:val="00776373"/>
    <w:rsid w:val="0077768F"/>
    <w:rsid w:val="007779F3"/>
    <w:rsid w:val="007819FF"/>
    <w:rsid w:val="00782C26"/>
    <w:rsid w:val="00783353"/>
    <w:rsid w:val="00783D5C"/>
    <w:rsid w:val="00783F21"/>
    <w:rsid w:val="00784B05"/>
    <w:rsid w:val="0078518F"/>
    <w:rsid w:val="0078613D"/>
    <w:rsid w:val="00787258"/>
    <w:rsid w:val="00787A28"/>
    <w:rsid w:val="00787D6E"/>
    <w:rsid w:val="00787FA2"/>
    <w:rsid w:val="00790A1A"/>
    <w:rsid w:val="00790EE6"/>
    <w:rsid w:val="00792916"/>
    <w:rsid w:val="00793EF4"/>
    <w:rsid w:val="00797CA7"/>
    <w:rsid w:val="00797E34"/>
    <w:rsid w:val="007A2035"/>
    <w:rsid w:val="007A20A9"/>
    <w:rsid w:val="007A3389"/>
    <w:rsid w:val="007A71AF"/>
    <w:rsid w:val="007A7E5A"/>
    <w:rsid w:val="007B0DE6"/>
    <w:rsid w:val="007B2485"/>
    <w:rsid w:val="007B294E"/>
    <w:rsid w:val="007B2A07"/>
    <w:rsid w:val="007B4023"/>
    <w:rsid w:val="007B4408"/>
    <w:rsid w:val="007B5915"/>
    <w:rsid w:val="007B76DA"/>
    <w:rsid w:val="007C0722"/>
    <w:rsid w:val="007C6B3B"/>
    <w:rsid w:val="007D0075"/>
    <w:rsid w:val="007D1471"/>
    <w:rsid w:val="007D1E1A"/>
    <w:rsid w:val="007D20AF"/>
    <w:rsid w:val="007D2797"/>
    <w:rsid w:val="007D2D10"/>
    <w:rsid w:val="007D33CC"/>
    <w:rsid w:val="007D3D5F"/>
    <w:rsid w:val="007D62DB"/>
    <w:rsid w:val="007D64FB"/>
    <w:rsid w:val="007D6D8B"/>
    <w:rsid w:val="007D741A"/>
    <w:rsid w:val="007D755D"/>
    <w:rsid w:val="007D7DFD"/>
    <w:rsid w:val="007E0399"/>
    <w:rsid w:val="007E0951"/>
    <w:rsid w:val="007E0AC3"/>
    <w:rsid w:val="007E2BE1"/>
    <w:rsid w:val="007E31E2"/>
    <w:rsid w:val="007E45FB"/>
    <w:rsid w:val="007E6AD6"/>
    <w:rsid w:val="007E71C0"/>
    <w:rsid w:val="007E7877"/>
    <w:rsid w:val="007E7C22"/>
    <w:rsid w:val="007F2286"/>
    <w:rsid w:val="007F2B7C"/>
    <w:rsid w:val="007F3567"/>
    <w:rsid w:val="007F3B06"/>
    <w:rsid w:val="007F4A27"/>
    <w:rsid w:val="007F4C46"/>
    <w:rsid w:val="007F4D00"/>
    <w:rsid w:val="007F606E"/>
    <w:rsid w:val="007F6FA9"/>
    <w:rsid w:val="007F7082"/>
    <w:rsid w:val="00801AEE"/>
    <w:rsid w:val="00802C60"/>
    <w:rsid w:val="0080581C"/>
    <w:rsid w:val="00807B4A"/>
    <w:rsid w:val="00811180"/>
    <w:rsid w:val="00812185"/>
    <w:rsid w:val="00812CFA"/>
    <w:rsid w:val="00812FD4"/>
    <w:rsid w:val="00813A3D"/>
    <w:rsid w:val="00813F65"/>
    <w:rsid w:val="00814A61"/>
    <w:rsid w:val="008151B1"/>
    <w:rsid w:val="0081531F"/>
    <w:rsid w:val="0081655C"/>
    <w:rsid w:val="008165D1"/>
    <w:rsid w:val="00816A37"/>
    <w:rsid w:val="00817E4C"/>
    <w:rsid w:val="00820747"/>
    <w:rsid w:val="00824507"/>
    <w:rsid w:val="0082561A"/>
    <w:rsid w:val="00826F75"/>
    <w:rsid w:val="00830779"/>
    <w:rsid w:val="00831870"/>
    <w:rsid w:val="00834022"/>
    <w:rsid w:val="00837ACE"/>
    <w:rsid w:val="008400DF"/>
    <w:rsid w:val="008415DB"/>
    <w:rsid w:val="008415E7"/>
    <w:rsid w:val="0084304D"/>
    <w:rsid w:val="00843719"/>
    <w:rsid w:val="0084389A"/>
    <w:rsid w:val="00843B5E"/>
    <w:rsid w:val="008448CC"/>
    <w:rsid w:val="00845F1F"/>
    <w:rsid w:val="00846334"/>
    <w:rsid w:val="0084739E"/>
    <w:rsid w:val="00847828"/>
    <w:rsid w:val="008506B0"/>
    <w:rsid w:val="00854995"/>
    <w:rsid w:val="0085577D"/>
    <w:rsid w:val="00855C3A"/>
    <w:rsid w:val="008560A6"/>
    <w:rsid w:val="00856207"/>
    <w:rsid w:val="0086163C"/>
    <w:rsid w:val="00862B8E"/>
    <w:rsid w:val="00862D0D"/>
    <w:rsid w:val="00863C27"/>
    <w:rsid w:val="008641D8"/>
    <w:rsid w:val="008664D2"/>
    <w:rsid w:val="00866814"/>
    <w:rsid w:val="0086756F"/>
    <w:rsid w:val="0087049A"/>
    <w:rsid w:val="0087202B"/>
    <w:rsid w:val="0087281F"/>
    <w:rsid w:val="00873249"/>
    <w:rsid w:val="008737FF"/>
    <w:rsid w:val="00875058"/>
    <w:rsid w:val="008766D0"/>
    <w:rsid w:val="0088073E"/>
    <w:rsid w:val="00882E86"/>
    <w:rsid w:val="00882FE7"/>
    <w:rsid w:val="008837BC"/>
    <w:rsid w:val="0088455A"/>
    <w:rsid w:val="00885BE6"/>
    <w:rsid w:val="008865E6"/>
    <w:rsid w:val="00887DA6"/>
    <w:rsid w:val="008912AD"/>
    <w:rsid w:val="00893A38"/>
    <w:rsid w:val="00893FA8"/>
    <w:rsid w:val="008948B9"/>
    <w:rsid w:val="00894A3E"/>
    <w:rsid w:val="00895271"/>
    <w:rsid w:val="008974A0"/>
    <w:rsid w:val="008A0F6E"/>
    <w:rsid w:val="008A2360"/>
    <w:rsid w:val="008A36C2"/>
    <w:rsid w:val="008A36C4"/>
    <w:rsid w:val="008A3A59"/>
    <w:rsid w:val="008A4257"/>
    <w:rsid w:val="008A65DD"/>
    <w:rsid w:val="008A6D50"/>
    <w:rsid w:val="008B0358"/>
    <w:rsid w:val="008B08F0"/>
    <w:rsid w:val="008B1A30"/>
    <w:rsid w:val="008B3740"/>
    <w:rsid w:val="008B4619"/>
    <w:rsid w:val="008B4693"/>
    <w:rsid w:val="008B4E98"/>
    <w:rsid w:val="008B6546"/>
    <w:rsid w:val="008B6B13"/>
    <w:rsid w:val="008B7BB0"/>
    <w:rsid w:val="008C0040"/>
    <w:rsid w:val="008C1824"/>
    <w:rsid w:val="008C1B51"/>
    <w:rsid w:val="008C2083"/>
    <w:rsid w:val="008C32AC"/>
    <w:rsid w:val="008C3BEB"/>
    <w:rsid w:val="008C5707"/>
    <w:rsid w:val="008D0B64"/>
    <w:rsid w:val="008D0DB0"/>
    <w:rsid w:val="008D1B55"/>
    <w:rsid w:val="008D463A"/>
    <w:rsid w:val="008D623B"/>
    <w:rsid w:val="008D649C"/>
    <w:rsid w:val="008E1289"/>
    <w:rsid w:val="008E12A1"/>
    <w:rsid w:val="008E1644"/>
    <w:rsid w:val="008E1B52"/>
    <w:rsid w:val="008E321F"/>
    <w:rsid w:val="008E33D7"/>
    <w:rsid w:val="008E3BC5"/>
    <w:rsid w:val="008E59F6"/>
    <w:rsid w:val="008E5DCE"/>
    <w:rsid w:val="008E7E40"/>
    <w:rsid w:val="008F0DD4"/>
    <w:rsid w:val="008F1744"/>
    <w:rsid w:val="008F19A7"/>
    <w:rsid w:val="008F400C"/>
    <w:rsid w:val="008F5440"/>
    <w:rsid w:val="008F5EC2"/>
    <w:rsid w:val="008F5EF5"/>
    <w:rsid w:val="008F6352"/>
    <w:rsid w:val="008F67C7"/>
    <w:rsid w:val="00900938"/>
    <w:rsid w:val="00901A02"/>
    <w:rsid w:val="00902667"/>
    <w:rsid w:val="00902AE4"/>
    <w:rsid w:val="00904CC4"/>
    <w:rsid w:val="00905D7C"/>
    <w:rsid w:val="00905F4E"/>
    <w:rsid w:val="00906DE0"/>
    <w:rsid w:val="00907CB5"/>
    <w:rsid w:val="0091093F"/>
    <w:rsid w:val="00910C1B"/>
    <w:rsid w:val="00911DF2"/>
    <w:rsid w:val="009120DC"/>
    <w:rsid w:val="009121AB"/>
    <w:rsid w:val="00912893"/>
    <w:rsid w:val="009136EF"/>
    <w:rsid w:val="00917CC8"/>
    <w:rsid w:val="0092028A"/>
    <w:rsid w:val="009206E1"/>
    <w:rsid w:val="0092153C"/>
    <w:rsid w:val="00921947"/>
    <w:rsid w:val="00922344"/>
    <w:rsid w:val="009232DF"/>
    <w:rsid w:val="00923C40"/>
    <w:rsid w:val="00923D42"/>
    <w:rsid w:val="0092421F"/>
    <w:rsid w:val="0092450D"/>
    <w:rsid w:val="0092648E"/>
    <w:rsid w:val="00926912"/>
    <w:rsid w:val="009277F0"/>
    <w:rsid w:val="00930CB0"/>
    <w:rsid w:val="00931D62"/>
    <w:rsid w:val="00932C00"/>
    <w:rsid w:val="00936F05"/>
    <w:rsid w:val="0094128A"/>
    <w:rsid w:val="009418A3"/>
    <w:rsid w:val="00941AFA"/>
    <w:rsid w:val="00942CDA"/>
    <w:rsid w:val="00943AAC"/>
    <w:rsid w:val="0094583C"/>
    <w:rsid w:val="00945D13"/>
    <w:rsid w:val="0094750E"/>
    <w:rsid w:val="00947563"/>
    <w:rsid w:val="00947B48"/>
    <w:rsid w:val="00951445"/>
    <w:rsid w:val="00951A85"/>
    <w:rsid w:val="00951A96"/>
    <w:rsid w:val="00951EFE"/>
    <w:rsid w:val="0095231E"/>
    <w:rsid w:val="0095239C"/>
    <w:rsid w:val="00952F0D"/>
    <w:rsid w:val="00954328"/>
    <w:rsid w:val="00957853"/>
    <w:rsid w:val="009620D7"/>
    <w:rsid w:val="00963CB8"/>
    <w:rsid w:val="009649FB"/>
    <w:rsid w:val="00964C8F"/>
    <w:rsid w:val="00965932"/>
    <w:rsid w:val="009667F4"/>
    <w:rsid w:val="00966AB6"/>
    <w:rsid w:val="009670E0"/>
    <w:rsid w:val="0097053C"/>
    <w:rsid w:val="009706F9"/>
    <w:rsid w:val="009719AB"/>
    <w:rsid w:val="0097222F"/>
    <w:rsid w:val="0097248B"/>
    <w:rsid w:val="00972DFD"/>
    <w:rsid w:val="00974129"/>
    <w:rsid w:val="0097448B"/>
    <w:rsid w:val="009745C9"/>
    <w:rsid w:val="00975B40"/>
    <w:rsid w:val="009769F0"/>
    <w:rsid w:val="00976DFB"/>
    <w:rsid w:val="00980272"/>
    <w:rsid w:val="00980BE6"/>
    <w:rsid w:val="00983857"/>
    <w:rsid w:val="00983E3A"/>
    <w:rsid w:val="00984B1C"/>
    <w:rsid w:val="009856F5"/>
    <w:rsid w:val="0098783A"/>
    <w:rsid w:val="00987D58"/>
    <w:rsid w:val="00987E01"/>
    <w:rsid w:val="00990311"/>
    <w:rsid w:val="009913CA"/>
    <w:rsid w:val="00991CDC"/>
    <w:rsid w:val="00993476"/>
    <w:rsid w:val="009954BE"/>
    <w:rsid w:val="00995CA4"/>
    <w:rsid w:val="009961AE"/>
    <w:rsid w:val="009961D7"/>
    <w:rsid w:val="00996559"/>
    <w:rsid w:val="00996629"/>
    <w:rsid w:val="00997572"/>
    <w:rsid w:val="009978AE"/>
    <w:rsid w:val="009A0187"/>
    <w:rsid w:val="009A0EB5"/>
    <w:rsid w:val="009A14DD"/>
    <w:rsid w:val="009A16A3"/>
    <w:rsid w:val="009A2D18"/>
    <w:rsid w:val="009A4358"/>
    <w:rsid w:val="009A6984"/>
    <w:rsid w:val="009A7BA9"/>
    <w:rsid w:val="009B0E99"/>
    <w:rsid w:val="009B104F"/>
    <w:rsid w:val="009B20DA"/>
    <w:rsid w:val="009B2C00"/>
    <w:rsid w:val="009B2D24"/>
    <w:rsid w:val="009B2E8D"/>
    <w:rsid w:val="009C50BF"/>
    <w:rsid w:val="009C5575"/>
    <w:rsid w:val="009C567D"/>
    <w:rsid w:val="009D1CA9"/>
    <w:rsid w:val="009D28AF"/>
    <w:rsid w:val="009D5166"/>
    <w:rsid w:val="009D54B6"/>
    <w:rsid w:val="009D5E74"/>
    <w:rsid w:val="009D66FA"/>
    <w:rsid w:val="009E2618"/>
    <w:rsid w:val="009E339E"/>
    <w:rsid w:val="009E3E6E"/>
    <w:rsid w:val="009E61F2"/>
    <w:rsid w:val="009E6922"/>
    <w:rsid w:val="009F0197"/>
    <w:rsid w:val="009F0E7F"/>
    <w:rsid w:val="009F162B"/>
    <w:rsid w:val="009F18E7"/>
    <w:rsid w:val="009F3743"/>
    <w:rsid w:val="009F4B57"/>
    <w:rsid w:val="009F552B"/>
    <w:rsid w:val="009F66FD"/>
    <w:rsid w:val="009F75AB"/>
    <w:rsid w:val="00A00A88"/>
    <w:rsid w:val="00A00D4F"/>
    <w:rsid w:val="00A02454"/>
    <w:rsid w:val="00A024D7"/>
    <w:rsid w:val="00A02BBA"/>
    <w:rsid w:val="00A03D78"/>
    <w:rsid w:val="00A06436"/>
    <w:rsid w:val="00A07054"/>
    <w:rsid w:val="00A0778B"/>
    <w:rsid w:val="00A07AB8"/>
    <w:rsid w:val="00A107B8"/>
    <w:rsid w:val="00A10C3B"/>
    <w:rsid w:val="00A113CF"/>
    <w:rsid w:val="00A1216B"/>
    <w:rsid w:val="00A13172"/>
    <w:rsid w:val="00A13CD5"/>
    <w:rsid w:val="00A14732"/>
    <w:rsid w:val="00A178DB"/>
    <w:rsid w:val="00A214B2"/>
    <w:rsid w:val="00A222CA"/>
    <w:rsid w:val="00A23102"/>
    <w:rsid w:val="00A250B9"/>
    <w:rsid w:val="00A26E72"/>
    <w:rsid w:val="00A27528"/>
    <w:rsid w:val="00A30092"/>
    <w:rsid w:val="00A30E95"/>
    <w:rsid w:val="00A311D2"/>
    <w:rsid w:val="00A32A44"/>
    <w:rsid w:val="00A3309E"/>
    <w:rsid w:val="00A34294"/>
    <w:rsid w:val="00A3551A"/>
    <w:rsid w:val="00A35B4D"/>
    <w:rsid w:val="00A36407"/>
    <w:rsid w:val="00A37694"/>
    <w:rsid w:val="00A3773B"/>
    <w:rsid w:val="00A4040E"/>
    <w:rsid w:val="00A41A68"/>
    <w:rsid w:val="00A41F03"/>
    <w:rsid w:val="00A427A0"/>
    <w:rsid w:val="00A43A5C"/>
    <w:rsid w:val="00A44C1D"/>
    <w:rsid w:val="00A44C22"/>
    <w:rsid w:val="00A4537E"/>
    <w:rsid w:val="00A4681E"/>
    <w:rsid w:val="00A47226"/>
    <w:rsid w:val="00A47EC8"/>
    <w:rsid w:val="00A500E0"/>
    <w:rsid w:val="00A506C2"/>
    <w:rsid w:val="00A507F6"/>
    <w:rsid w:val="00A52225"/>
    <w:rsid w:val="00A52FFC"/>
    <w:rsid w:val="00A53177"/>
    <w:rsid w:val="00A54130"/>
    <w:rsid w:val="00A54FBF"/>
    <w:rsid w:val="00A567AD"/>
    <w:rsid w:val="00A56CCE"/>
    <w:rsid w:val="00A57293"/>
    <w:rsid w:val="00A5736B"/>
    <w:rsid w:val="00A61D6D"/>
    <w:rsid w:val="00A62730"/>
    <w:rsid w:val="00A62850"/>
    <w:rsid w:val="00A62D38"/>
    <w:rsid w:val="00A63820"/>
    <w:rsid w:val="00A63EAB"/>
    <w:rsid w:val="00A65075"/>
    <w:rsid w:val="00A65BC5"/>
    <w:rsid w:val="00A65C21"/>
    <w:rsid w:val="00A65F8D"/>
    <w:rsid w:val="00A667B2"/>
    <w:rsid w:val="00A67B90"/>
    <w:rsid w:val="00A7091D"/>
    <w:rsid w:val="00A7146A"/>
    <w:rsid w:val="00A72368"/>
    <w:rsid w:val="00A73034"/>
    <w:rsid w:val="00A7328A"/>
    <w:rsid w:val="00A742D8"/>
    <w:rsid w:val="00A748C9"/>
    <w:rsid w:val="00A75633"/>
    <w:rsid w:val="00A76C30"/>
    <w:rsid w:val="00A7780B"/>
    <w:rsid w:val="00A801C4"/>
    <w:rsid w:val="00A80405"/>
    <w:rsid w:val="00A80A32"/>
    <w:rsid w:val="00A81289"/>
    <w:rsid w:val="00A812FC"/>
    <w:rsid w:val="00A813D8"/>
    <w:rsid w:val="00A81D3C"/>
    <w:rsid w:val="00A836DA"/>
    <w:rsid w:val="00A847A2"/>
    <w:rsid w:val="00A849FF"/>
    <w:rsid w:val="00A8695A"/>
    <w:rsid w:val="00A90323"/>
    <w:rsid w:val="00A907A1"/>
    <w:rsid w:val="00A9240F"/>
    <w:rsid w:val="00A92591"/>
    <w:rsid w:val="00A92775"/>
    <w:rsid w:val="00A9301D"/>
    <w:rsid w:val="00A9389F"/>
    <w:rsid w:val="00A93E14"/>
    <w:rsid w:val="00A93FD0"/>
    <w:rsid w:val="00A9776F"/>
    <w:rsid w:val="00AA0A73"/>
    <w:rsid w:val="00AA0FCD"/>
    <w:rsid w:val="00AA1664"/>
    <w:rsid w:val="00AA478A"/>
    <w:rsid w:val="00AA4D01"/>
    <w:rsid w:val="00AA64C1"/>
    <w:rsid w:val="00AA6664"/>
    <w:rsid w:val="00AA6E89"/>
    <w:rsid w:val="00AA705B"/>
    <w:rsid w:val="00AB0900"/>
    <w:rsid w:val="00AB0B6B"/>
    <w:rsid w:val="00AB21C7"/>
    <w:rsid w:val="00AB2F32"/>
    <w:rsid w:val="00AB4175"/>
    <w:rsid w:val="00AB44D6"/>
    <w:rsid w:val="00AB4F3D"/>
    <w:rsid w:val="00AB7E12"/>
    <w:rsid w:val="00AB7E5F"/>
    <w:rsid w:val="00AC092A"/>
    <w:rsid w:val="00AC0CA5"/>
    <w:rsid w:val="00AC3914"/>
    <w:rsid w:val="00AC4899"/>
    <w:rsid w:val="00AC5EA2"/>
    <w:rsid w:val="00AC74FF"/>
    <w:rsid w:val="00AD264F"/>
    <w:rsid w:val="00AD2ABA"/>
    <w:rsid w:val="00AD2FC4"/>
    <w:rsid w:val="00AD31DE"/>
    <w:rsid w:val="00AD61B1"/>
    <w:rsid w:val="00AD6C24"/>
    <w:rsid w:val="00AE0536"/>
    <w:rsid w:val="00AE1255"/>
    <w:rsid w:val="00AE1CF8"/>
    <w:rsid w:val="00AE2196"/>
    <w:rsid w:val="00AE4072"/>
    <w:rsid w:val="00AE43EC"/>
    <w:rsid w:val="00AE5709"/>
    <w:rsid w:val="00AE5CDB"/>
    <w:rsid w:val="00AE60D5"/>
    <w:rsid w:val="00AE61BC"/>
    <w:rsid w:val="00AE7861"/>
    <w:rsid w:val="00AF0115"/>
    <w:rsid w:val="00AF0248"/>
    <w:rsid w:val="00AF1058"/>
    <w:rsid w:val="00AF1349"/>
    <w:rsid w:val="00AF1B59"/>
    <w:rsid w:val="00AF20AB"/>
    <w:rsid w:val="00AF23CB"/>
    <w:rsid w:val="00AF26AD"/>
    <w:rsid w:val="00AF30D2"/>
    <w:rsid w:val="00AF4010"/>
    <w:rsid w:val="00AF59D1"/>
    <w:rsid w:val="00AF622B"/>
    <w:rsid w:val="00AF7094"/>
    <w:rsid w:val="00B01219"/>
    <w:rsid w:val="00B01C5F"/>
    <w:rsid w:val="00B032A4"/>
    <w:rsid w:val="00B036C2"/>
    <w:rsid w:val="00B039E9"/>
    <w:rsid w:val="00B04784"/>
    <w:rsid w:val="00B05ED5"/>
    <w:rsid w:val="00B06658"/>
    <w:rsid w:val="00B07074"/>
    <w:rsid w:val="00B07DD0"/>
    <w:rsid w:val="00B10E68"/>
    <w:rsid w:val="00B11C75"/>
    <w:rsid w:val="00B12B8E"/>
    <w:rsid w:val="00B13320"/>
    <w:rsid w:val="00B13D29"/>
    <w:rsid w:val="00B17F51"/>
    <w:rsid w:val="00B200C5"/>
    <w:rsid w:val="00B22322"/>
    <w:rsid w:val="00B2236F"/>
    <w:rsid w:val="00B25BAC"/>
    <w:rsid w:val="00B26D9B"/>
    <w:rsid w:val="00B27407"/>
    <w:rsid w:val="00B315EF"/>
    <w:rsid w:val="00B3172C"/>
    <w:rsid w:val="00B31AE1"/>
    <w:rsid w:val="00B31FF1"/>
    <w:rsid w:val="00B362AB"/>
    <w:rsid w:val="00B41322"/>
    <w:rsid w:val="00B41360"/>
    <w:rsid w:val="00B442B5"/>
    <w:rsid w:val="00B512A6"/>
    <w:rsid w:val="00B5131E"/>
    <w:rsid w:val="00B51F7D"/>
    <w:rsid w:val="00B52C99"/>
    <w:rsid w:val="00B54A74"/>
    <w:rsid w:val="00B55061"/>
    <w:rsid w:val="00B576AC"/>
    <w:rsid w:val="00B60FCC"/>
    <w:rsid w:val="00B61C92"/>
    <w:rsid w:val="00B63F32"/>
    <w:rsid w:val="00B675C7"/>
    <w:rsid w:val="00B67897"/>
    <w:rsid w:val="00B713F2"/>
    <w:rsid w:val="00B72F03"/>
    <w:rsid w:val="00B76A40"/>
    <w:rsid w:val="00B76C5D"/>
    <w:rsid w:val="00B76FBB"/>
    <w:rsid w:val="00B7723A"/>
    <w:rsid w:val="00B80CA0"/>
    <w:rsid w:val="00B81104"/>
    <w:rsid w:val="00B818AB"/>
    <w:rsid w:val="00B81BFF"/>
    <w:rsid w:val="00B81FF2"/>
    <w:rsid w:val="00B82BF0"/>
    <w:rsid w:val="00B853A3"/>
    <w:rsid w:val="00B85DC6"/>
    <w:rsid w:val="00B864BC"/>
    <w:rsid w:val="00B879FB"/>
    <w:rsid w:val="00B91876"/>
    <w:rsid w:val="00B91CB7"/>
    <w:rsid w:val="00B92EF7"/>
    <w:rsid w:val="00B92FFE"/>
    <w:rsid w:val="00B94B3C"/>
    <w:rsid w:val="00B94F0A"/>
    <w:rsid w:val="00B96233"/>
    <w:rsid w:val="00B97A4A"/>
    <w:rsid w:val="00BA4F2C"/>
    <w:rsid w:val="00BA50E6"/>
    <w:rsid w:val="00BA545C"/>
    <w:rsid w:val="00BA60E9"/>
    <w:rsid w:val="00BA6A70"/>
    <w:rsid w:val="00BB1CB0"/>
    <w:rsid w:val="00BB2DA2"/>
    <w:rsid w:val="00BB2F91"/>
    <w:rsid w:val="00BB5072"/>
    <w:rsid w:val="00BB73DC"/>
    <w:rsid w:val="00BB7F9B"/>
    <w:rsid w:val="00BC087B"/>
    <w:rsid w:val="00BC0C8B"/>
    <w:rsid w:val="00BC1B14"/>
    <w:rsid w:val="00BC3473"/>
    <w:rsid w:val="00BC55C1"/>
    <w:rsid w:val="00BC59A5"/>
    <w:rsid w:val="00BC7059"/>
    <w:rsid w:val="00BC7561"/>
    <w:rsid w:val="00BD26BB"/>
    <w:rsid w:val="00BD56FB"/>
    <w:rsid w:val="00BD6682"/>
    <w:rsid w:val="00BD6B80"/>
    <w:rsid w:val="00BD7546"/>
    <w:rsid w:val="00BE0DED"/>
    <w:rsid w:val="00BE1F09"/>
    <w:rsid w:val="00BE2A96"/>
    <w:rsid w:val="00BE3EC2"/>
    <w:rsid w:val="00BE49D3"/>
    <w:rsid w:val="00BE5EED"/>
    <w:rsid w:val="00BE5F9F"/>
    <w:rsid w:val="00BE7A9E"/>
    <w:rsid w:val="00BE7F61"/>
    <w:rsid w:val="00BF0E9E"/>
    <w:rsid w:val="00BF1D25"/>
    <w:rsid w:val="00BF2CD2"/>
    <w:rsid w:val="00BF388B"/>
    <w:rsid w:val="00BF46BB"/>
    <w:rsid w:val="00BF7689"/>
    <w:rsid w:val="00BF76C8"/>
    <w:rsid w:val="00C0026D"/>
    <w:rsid w:val="00C00952"/>
    <w:rsid w:val="00C02978"/>
    <w:rsid w:val="00C02A98"/>
    <w:rsid w:val="00C02D3C"/>
    <w:rsid w:val="00C030E2"/>
    <w:rsid w:val="00C03F7C"/>
    <w:rsid w:val="00C05239"/>
    <w:rsid w:val="00C06523"/>
    <w:rsid w:val="00C07869"/>
    <w:rsid w:val="00C12740"/>
    <w:rsid w:val="00C1314F"/>
    <w:rsid w:val="00C1315F"/>
    <w:rsid w:val="00C147C9"/>
    <w:rsid w:val="00C14B07"/>
    <w:rsid w:val="00C17517"/>
    <w:rsid w:val="00C17ADF"/>
    <w:rsid w:val="00C20016"/>
    <w:rsid w:val="00C20868"/>
    <w:rsid w:val="00C22219"/>
    <w:rsid w:val="00C22C1D"/>
    <w:rsid w:val="00C22DAC"/>
    <w:rsid w:val="00C2329F"/>
    <w:rsid w:val="00C242D5"/>
    <w:rsid w:val="00C2564E"/>
    <w:rsid w:val="00C25993"/>
    <w:rsid w:val="00C25B3B"/>
    <w:rsid w:val="00C261D9"/>
    <w:rsid w:val="00C26377"/>
    <w:rsid w:val="00C31A10"/>
    <w:rsid w:val="00C327D9"/>
    <w:rsid w:val="00C32D7D"/>
    <w:rsid w:val="00C359C7"/>
    <w:rsid w:val="00C378E8"/>
    <w:rsid w:val="00C40ECD"/>
    <w:rsid w:val="00C4107E"/>
    <w:rsid w:val="00C41A98"/>
    <w:rsid w:val="00C44EE4"/>
    <w:rsid w:val="00C45D73"/>
    <w:rsid w:val="00C528A8"/>
    <w:rsid w:val="00C52E22"/>
    <w:rsid w:val="00C535D1"/>
    <w:rsid w:val="00C53711"/>
    <w:rsid w:val="00C53C4F"/>
    <w:rsid w:val="00C53F63"/>
    <w:rsid w:val="00C546A0"/>
    <w:rsid w:val="00C548DE"/>
    <w:rsid w:val="00C549F2"/>
    <w:rsid w:val="00C54B0F"/>
    <w:rsid w:val="00C55039"/>
    <w:rsid w:val="00C5582F"/>
    <w:rsid w:val="00C57B37"/>
    <w:rsid w:val="00C57B47"/>
    <w:rsid w:val="00C60B43"/>
    <w:rsid w:val="00C6138C"/>
    <w:rsid w:val="00C61F1E"/>
    <w:rsid w:val="00C623AF"/>
    <w:rsid w:val="00C63556"/>
    <w:rsid w:val="00C65250"/>
    <w:rsid w:val="00C653CF"/>
    <w:rsid w:val="00C678A1"/>
    <w:rsid w:val="00C679DF"/>
    <w:rsid w:val="00C67BDD"/>
    <w:rsid w:val="00C719B3"/>
    <w:rsid w:val="00C72737"/>
    <w:rsid w:val="00C73CD1"/>
    <w:rsid w:val="00C75E12"/>
    <w:rsid w:val="00C77331"/>
    <w:rsid w:val="00C80AA0"/>
    <w:rsid w:val="00C82D13"/>
    <w:rsid w:val="00C84EF5"/>
    <w:rsid w:val="00C85EF4"/>
    <w:rsid w:val="00C85FC6"/>
    <w:rsid w:val="00C8675D"/>
    <w:rsid w:val="00C912C9"/>
    <w:rsid w:val="00C91E01"/>
    <w:rsid w:val="00C958CC"/>
    <w:rsid w:val="00C95B25"/>
    <w:rsid w:val="00C95FBF"/>
    <w:rsid w:val="00C962AE"/>
    <w:rsid w:val="00C9641E"/>
    <w:rsid w:val="00C966FB"/>
    <w:rsid w:val="00C96F7A"/>
    <w:rsid w:val="00CA015B"/>
    <w:rsid w:val="00CA1C85"/>
    <w:rsid w:val="00CA3891"/>
    <w:rsid w:val="00CA531D"/>
    <w:rsid w:val="00CA6E36"/>
    <w:rsid w:val="00CA7AE9"/>
    <w:rsid w:val="00CB0565"/>
    <w:rsid w:val="00CB5658"/>
    <w:rsid w:val="00CB6C38"/>
    <w:rsid w:val="00CC09DB"/>
    <w:rsid w:val="00CC2D37"/>
    <w:rsid w:val="00CC2F87"/>
    <w:rsid w:val="00CC3262"/>
    <w:rsid w:val="00CC3673"/>
    <w:rsid w:val="00CC4575"/>
    <w:rsid w:val="00CC59B7"/>
    <w:rsid w:val="00CD022B"/>
    <w:rsid w:val="00CD074E"/>
    <w:rsid w:val="00CD1881"/>
    <w:rsid w:val="00CD1FFE"/>
    <w:rsid w:val="00CD39C8"/>
    <w:rsid w:val="00CD3B4B"/>
    <w:rsid w:val="00CD4EE1"/>
    <w:rsid w:val="00CD6275"/>
    <w:rsid w:val="00CD6864"/>
    <w:rsid w:val="00CD7E40"/>
    <w:rsid w:val="00CD7E83"/>
    <w:rsid w:val="00CE009D"/>
    <w:rsid w:val="00CE2798"/>
    <w:rsid w:val="00CE3B80"/>
    <w:rsid w:val="00CE4080"/>
    <w:rsid w:val="00CE4765"/>
    <w:rsid w:val="00CE5AD4"/>
    <w:rsid w:val="00CE5D56"/>
    <w:rsid w:val="00CE7445"/>
    <w:rsid w:val="00CF065A"/>
    <w:rsid w:val="00CF1786"/>
    <w:rsid w:val="00CF1942"/>
    <w:rsid w:val="00CF1D27"/>
    <w:rsid w:val="00CF4BD7"/>
    <w:rsid w:val="00CF5117"/>
    <w:rsid w:val="00CF58AE"/>
    <w:rsid w:val="00CF5A74"/>
    <w:rsid w:val="00CF5D71"/>
    <w:rsid w:val="00D000D6"/>
    <w:rsid w:val="00D00173"/>
    <w:rsid w:val="00D00ABA"/>
    <w:rsid w:val="00D00D12"/>
    <w:rsid w:val="00D046DB"/>
    <w:rsid w:val="00D04BB3"/>
    <w:rsid w:val="00D059E9"/>
    <w:rsid w:val="00D06DBD"/>
    <w:rsid w:val="00D071C8"/>
    <w:rsid w:val="00D11A95"/>
    <w:rsid w:val="00D12098"/>
    <w:rsid w:val="00D15B97"/>
    <w:rsid w:val="00D1605B"/>
    <w:rsid w:val="00D168C9"/>
    <w:rsid w:val="00D16A79"/>
    <w:rsid w:val="00D16DF0"/>
    <w:rsid w:val="00D208F4"/>
    <w:rsid w:val="00D21BC1"/>
    <w:rsid w:val="00D22BC6"/>
    <w:rsid w:val="00D23BD8"/>
    <w:rsid w:val="00D25819"/>
    <w:rsid w:val="00D305E7"/>
    <w:rsid w:val="00D30A6D"/>
    <w:rsid w:val="00D30AF6"/>
    <w:rsid w:val="00D33461"/>
    <w:rsid w:val="00D33476"/>
    <w:rsid w:val="00D35AAC"/>
    <w:rsid w:val="00D35B82"/>
    <w:rsid w:val="00D41903"/>
    <w:rsid w:val="00D44222"/>
    <w:rsid w:val="00D45EFC"/>
    <w:rsid w:val="00D46D79"/>
    <w:rsid w:val="00D46DC7"/>
    <w:rsid w:val="00D51F36"/>
    <w:rsid w:val="00D53761"/>
    <w:rsid w:val="00D558DE"/>
    <w:rsid w:val="00D56189"/>
    <w:rsid w:val="00D56B99"/>
    <w:rsid w:val="00D5791B"/>
    <w:rsid w:val="00D60012"/>
    <w:rsid w:val="00D606F2"/>
    <w:rsid w:val="00D60A24"/>
    <w:rsid w:val="00D61A60"/>
    <w:rsid w:val="00D62CA8"/>
    <w:rsid w:val="00D6435D"/>
    <w:rsid w:val="00D64C11"/>
    <w:rsid w:val="00D65051"/>
    <w:rsid w:val="00D65CE7"/>
    <w:rsid w:val="00D65FD9"/>
    <w:rsid w:val="00D668FB"/>
    <w:rsid w:val="00D66B3A"/>
    <w:rsid w:val="00D67508"/>
    <w:rsid w:val="00D6752F"/>
    <w:rsid w:val="00D675CA"/>
    <w:rsid w:val="00D72770"/>
    <w:rsid w:val="00D728C9"/>
    <w:rsid w:val="00D72D2F"/>
    <w:rsid w:val="00D758FD"/>
    <w:rsid w:val="00D776F0"/>
    <w:rsid w:val="00D83312"/>
    <w:rsid w:val="00D83D2B"/>
    <w:rsid w:val="00D85764"/>
    <w:rsid w:val="00D91C18"/>
    <w:rsid w:val="00D9329B"/>
    <w:rsid w:val="00D93788"/>
    <w:rsid w:val="00D93EF1"/>
    <w:rsid w:val="00D9447D"/>
    <w:rsid w:val="00D95D6C"/>
    <w:rsid w:val="00D9743F"/>
    <w:rsid w:val="00DA124F"/>
    <w:rsid w:val="00DA4009"/>
    <w:rsid w:val="00DA4831"/>
    <w:rsid w:val="00DA6840"/>
    <w:rsid w:val="00DA69B3"/>
    <w:rsid w:val="00DA77A5"/>
    <w:rsid w:val="00DB0389"/>
    <w:rsid w:val="00DB460B"/>
    <w:rsid w:val="00DB57A7"/>
    <w:rsid w:val="00DB5C50"/>
    <w:rsid w:val="00DB5FB3"/>
    <w:rsid w:val="00DB7758"/>
    <w:rsid w:val="00DC006A"/>
    <w:rsid w:val="00DC00AA"/>
    <w:rsid w:val="00DC301D"/>
    <w:rsid w:val="00DC337D"/>
    <w:rsid w:val="00DC3481"/>
    <w:rsid w:val="00DC440E"/>
    <w:rsid w:val="00DC5189"/>
    <w:rsid w:val="00DC5930"/>
    <w:rsid w:val="00DC71EE"/>
    <w:rsid w:val="00DC739F"/>
    <w:rsid w:val="00DC75DF"/>
    <w:rsid w:val="00DC7BA5"/>
    <w:rsid w:val="00DC7C0A"/>
    <w:rsid w:val="00DC7CC4"/>
    <w:rsid w:val="00DD2789"/>
    <w:rsid w:val="00DD326C"/>
    <w:rsid w:val="00DD43DF"/>
    <w:rsid w:val="00DD4946"/>
    <w:rsid w:val="00DD7100"/>
    <w:rsid w:val="00DD7B93"/>
    <w:rsid w:val="00DD7E14"/>
    <w:rsid w:val="00DE0B43"/>
    <w:rsid w:val="00DE0C60"/>
    <w:rsid w:val="00DE1114"/>
    <w:rsid w:val="00DE12E2"/>
    <w:rsid w:val="00DE2655"/>
    <w:rsid w:val="00DE3EE1"/>
    <w:rsid w:val="00DE4C6C"/>
    <w:rsid w:val="00DE52D1"/>
    <w:rsid w:val="00DE546D"/>
    <w:rsid w:val="00DE6FE5"/>
    <w:rsid w:val="00DE7468"/>
    <w:rsid w:val="00DE7E70"/>
    <w:rsid w:val="00DF0B02"/>
    <w:rsid w:val="00DF11B5"/>
    <w:rsid w:val="00DF228F"/>
    <w:rsid w:val="00DF3C68"/>
    <w:rsid w:val="00DF54F6"/>
    <w:rsid w:val="00DF5C78"/>
    <w:rsid w:val="00DF64DC"/>
    <w:rsid w:val="00DF6B03"/>
    <w:rsid w:val="00DF6F52"/>
    <w:rsid w:val="00E02224"/>
    <w:rsid w:val="00E033CC"/>
    <w:rsid w:val="00E03434"/>
    <w:rsid w:val="00E072DD"/>
    <w:rsid w:val="00E10013"/>
    <w:rsid w:val="00E127B0"/>
    <w:rsid w:val="00E13904"/>
    <w:rsid w:val="00E15B63"/>
    <w:rsid w:val="00E17F84"/>
    <w:rsid w:val="00E20D86"/>
    <w:rsid w:val="00E212D3"/>
    <w:rsid w:val="00E242FC"/>
    <w:rsid w:val="00E24AD0"/>
    <w:rsid w:val="00E258E1"/>
    <w:rsid w:val="00E25FD0"/>
    <w:rsid w:val="00E26D63"/>
    <w:rsid w:val="00E324C8"/>
    <w:rsid w:val="00E334E6"/>
    <w:rsid w:val="00E37242"/>
    <w:rsid w:val="00E378D6"/>
    <w:rsid w:val="00E403D8"/>
    <w:rsid w:val="00E40AF3"/>
    <w:rsid w:val="00E41324"/>
    <w:rsid w:val="00E518B1"/>
    <w:rsid w:val="00E52315"/>
    <w:rsid w:val="00E525D9"/>
    <w:rsid w:val="00E535C4"/>
    <w:rsid w:val="00E559FC"/>
    <w:rsid w:val="00E6017F"/>
    <w:rsid w:val="00E60CDD"/>
    <w:rsid w:val="00E63239"/>
    <w:rsid w:val="00E6511B"/>
    <w:rsid w:val="00E67DE1"/>
    <w:rsid w:val="00E70DA1"/>
    <w:rsid w:val="00E714B3"/>
    <w:rsid w:val="00E71746"/>
    <w:rsid w:val="00E72C56"/>
    <w:rsid w:val="00E74389"/>
    <w:rsid w:val="00E74598"/>
    <w:rsid w:val="00E7477F"/>
    <w:rsid w:val="00E775FF"/>
    <w:rsid w:val="00E81462"/>
    <w:rsid w:val="00E81C64"/>
    <w:rsid w:val="00E81F1D"/>
    <w:rsid w:val="00E8237A"/>
    <w:rsid w:val="00E82661"/>
    <w:rsid w:val="00E8277F"/>
    <w:rsid w:val="00E83F16"/>
    <w:rsid w:val="00E8404B"/>
    <w:rsid w:val="00E84906"/>
    <w:rsid w:val="00E85171"/>
    <w:rsid w:val="00E85478"/>
    <w:rsid w:val="00E86478"/>
    <w:rsid w:val="00E90ADB"/>
    <w:rsid w:val="00E90FEF"/>
    <w:rsid w:val="00E91B56"/>
    <w:rsid w:val="00E927C3"/>
    <w:rsid w:val="00E93842"/>
    <w:rsid w:val="00E95314"/>
    <w:rsid w:val="00E96B4F"/>
    <w:rsid w:val="00E96DD2"/>
    <w:rsid w:val="00E97820"/>
    <w:rsid w:val="00EA1433"/>
    <w:rsid w:val="00EA2AF6"/>
    <w:rsid w:val="00EA3925"/>
    <w:rsid w:val="00EA39BE"/>
    <w:rsid w:val="00EA446B"/>
    <w:rsid w:val="00EA456A"/>
    <w:rsid w:val="00EA47B4"/>
    <w:rsid w:val="00EA5840"/>
    <w:rsid w:val="00EA6B1F"/>
    <w:rsid w:val="00EA72E2"/>
    <w:rsid w:val="00EA7CCC"/>
    <w:rsid w:val="00EB4115"/>
    <w:rsid w:val="00EB43FE"/>
    <w:rsid w:val="00EB53AA"/>
    <w:rsid w:val="00EB546C"/>
    <w:rsid w:val="00EB55FA"/>
    <w:rsid w:val="00EB61B1"/>
    <w:rsid w:val="00EB61DB"/>
    <w:rsid w:val="00EC03A8"/>
    <w:rsid w:val="00EC0CE5"/>
    <w:rsid w:val="00EC2E09"/>
    <w:rsid w:val="00EC516E"/>
    <w:rsid w:val="00EC65D2"/>
    <w:rsid w:val="00EC660E"/>
    <w:rsid w:val="00EC6E22"/>
    <w:rsid w:val="00ED25AE"/>
    <w:rsid w:val="00ED2C84"/>
    <w:rsid w:val="00ED3142"/>
    <w:rsid w:val="00ED5A1D"/>
    <w:rsid w:val="00ED5D46"/>
    <w:rsid w:val="00ED6621"/>
    <w:rsid w:val="00ED6F1E"/>
    <w:rsid w:val="00EE02F1"/>
    <w:rsid w:val="00EE157F"/>
    <w:rsid w:val="00EE1DA4"/>
    <w:rsid w:val="00EE1FC1"/>
    <w:rsid w:val="00EE3AA1"/>
    <w:rsid w:val="00EE3C1F"/>
    <w:rsid w:val="00EE590E"/>
    <w:rsid w:val="00EE71FB"/>
    <w:rsid w:val="00EF3218"/>
    <w:rsid w:val="00EF366C"/>
    <w:rsid w:val="00EF4E96"/>
    <w:rsid w:val="00EF70F1"/>
    <w:rsid w:val="00F004BD"/>
    <w:rsid w:val="00F01C33"/>
    <w:rsid w:val="00F01D8D"/>
    <w:rsid w:val="00F03EBB"/>
    <w:rsid w:val="00F042A0"/>
    <w:rsid w:val="00F04CCE"/>
    <w:rsid w:val="00F06BA4"/>
    <w:rsid w:val="00F12260"/>
    <w:rsid w:val="00F13925"/>
    <w:rsid w:val="00F13B14"/>
    <w:rsid w:val="00F14095"/>
    <w:rsid w:val="00F159D8"/>
    <w:rsid w:val="00F16711"/>
    <w:rsid w:val="00F240CA"/>
    <w:rsid w:val="00F25396"/>
    <w:rsid w:val="00F2549B"/>
    <w:rsid w:val="00F27DC2"/>
    <w:rsid w:val="00F27FDC"/>
    <w:rsid w:val="00F317E2"/>
    <w:rsid w:val="00F32304"/>
    <w:rsid w:val="00F3270C"/>
    <w:rsid w:val="00F32C7D"/>
    <w:rsid w:val="00F33720"/>
    <w:rsid w:val="00F337D4"/>
    <w:rsid w:val="00F348C5"/>
    <w:rsid w:val="00F34EB4"/>
    <w:rsid w:val="00F36DA8"/>
    <w:rsid w:val="00F411B4"/>
    <w:rsid w:val="00F4232D"/>
    <w:rsid w:val="00F432AC"/>
    <w:rsid w:val="00F44275"/>
    <w:rsid w:val="00F44AA8"/>
    <w:rsid w:val="00F44DE7"/>
    <w:rsid w:val="00F44FAC"/>
    <w:rsid w:val="00F450B0"/>
    <w:rsid w:val="00F47AAD"/>
    <w:rsid w:val="00F50733"/>
    <w:rsid w:val="00F53860"/>
    <w:rsid w:val="00F544E6"/>
    <w:rsid w:val="00F57089"/>
    <w:rsid w:val="00F57DD4"/>
    <w:rsid w:val="00F601A8"/>
    <w:rsid w:val="00F605B9"/>
    <w:rsid w:val="00F62338"/>
    <w:rsid w:val="00F63705"/>
    <w:rsid w:val="00F6524C"/>
    <w:rsid w:val="00F652E7"/>
    <w:rsid w:val="00F66906"/>
    <w:rsid w:val="00F67A29"/>
    <w:rsid w:val="00F67BA2"/>
    <w:rsid w:val="00F703F9"/>
    <w:rsid w:val="00F7166A"/>
    <w:rsid w:val="00F719B5"/>
    <w:rsid w:val="00F71A96"/>
    <w:rsid w:val="00F762C3"/>
    <w:rsid w:val="00F80069"/>
    <w:rsid w:val="00F812FB"/>
    <w:rsid w:val="00F81CA1"/>
    <w:rsid w:val="00F84476"/>
    <w:rsid w:val="00F8449A"/>
    <w:rsid w:val="00F849CC"/>
    <w:rsid w:val="00F84B9A"/>
    <w:rsid w:val="00F84C57"/>
    <w:rsid w:val="00F867A6"/>
    <w:rsid w:val="00F86EC2"/>
    <w:rsid w:val="00F906B3"/>
    <w:rsid w:val="00F96DC9"/>
    <w:rsid w:val="00F96E1D"/>
    <w:rsid w:val="00F96F13"/>
    <w:rsid w:val="00F97FF7"/>
    <w:rsid w:val="00FA0CF8"/>
    <w:rsid w:val="00FA2CD4"/>
    <w:rsid w:val="00FA3B68"/>
    <w:rsid w:val="00FA56CB"/>
    <w:rsid w:val="00FA6595"/>
    <w:rsid w:val="00FA6AE1"/>
    <w:rsid w:val="00FB107E"/>
    <w:rsid w:val="00FB2015"/>
    <w:rsid w:val="00FB21FF"/>
    <w:rsid w:val="00FB22B0"/>
    <w:rsid w:val="00FB3B00"/>
    <w:rsid w:val="00FB3C95"/>
    <w:rsid w:val="00FB3F54"/>
    <w:rsid w:val="00FB63ED"/>
    <w:rsid w:val="00FB67CB"/>
    <w:rsid w:val="00FB70A9"/>
    <w:rsid w:val="00FC0E85"/>
    <w:rsid w:val="00FC4C89"/>
    <w:rsid w:val="00FC4D8A"/>
    <w:rsid w:val="00FC556A"/>
    <w:rsid w:val="00FC5B82"/>
    <w:rsid w:val="00FC6D2C"/>
    <w:rsid w:val="00FC6D37"/>
    <w:rsid w:val="00FC74D6"/>
    <w:rsid w:val="00FC7D9F"/>
    <w:rsid w:val="00FD185D"/>
    <w:rsid w:val="00FD2A04"/>
    <w:rsid w:val="00FD3E42"/>
    <w:rsid w:val="00FD45CF"/>
    <w:rsid w:val="00FD73A8"/>
    <w:rsid w:val="00FD78B6"/>
    <w:rsid w:val="00FE071B"/>
    <w:rsid w:val="00FE22B7"/>
    <w:rsid w:val="00FE290A"/>
    <w:rsid w:val="00FE3950"/>
    <w:rsid w:val="00FE5DC9"/>
    <w:rsid w:val="00FE6213"/>
    <w:rsid w:val="00FE6ECB"/>
    <w:rsid w:val="00FE7279"/>
    <w:rsid w:val="00FE7564"/>
    <w:rsid w:val="00FE7F73"/>
    <w:rsid w:val="00FF0B47"/>
    <w:rsid w:val="00FF346D"/>
    <w:rsid w:val="00FF38BD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2458D"/>
  <w15:docId w15:val="{6BCE8B85-2655-479D-8FB9-FD76B624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30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30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0F5DB2"/>
    <w:pPr>
      <w:spacing w:before="240" w:after="60" w:line="360" w:lineRule="atLeast"/>
      <w:outlineLvl w:val="6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CA01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6AC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6AC6"/>
    <w:rPr>
      <w:rFonts w:ascii="Times New Roman" w:hAnsi="Times New Roman" w:cs="Times New Roman"/>
      <w:sz w:val="24"/>
      <w:lang w:eastAsia="en-US"/>
    </w:rPr>
  </w:style>
  <w:style w:type="paragraph" w:customStyle="1" w:styleId="NoSpacing1">
    <w:name w:val="No Spacing1"/>
    <w:link w:val="NoSpacingChar"/>
    <w:rsid w:val="006B6AC6"/>
    <w:rPr>
      <w:lang w:eastAsia="en-US"/>
    </w:rPr>
  </w:style>
  <w:style w:type="character" w:customStyle="1" w:styleId="NoSpacingChar">
    <w:name w:val="No Spacing Char"/>
    <w:link w:val="NoSpacing1"/>
    <w:uiPriority w:val="99"/>
    <w:locked/>
    <w:rsid w:val="006B6AC6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6B6AC6"/>
    <w:rPr>
      <w:rFonts w:cs="Times New Roman"/>
      <w:color w:val="316C9D"/>
      <w:u w:val="none"/>
      <w:effect w:val="none"/>
    </w:rPr>
  </w:style>
  <w:style w:type="character" w:customStyle="1" w:styleId="st">
    <w:name w:val="st"/>
    <w:basedOn w:val="DefaultParagraphFont"/>
    <w:uiPriority w:val="99"/>
    <w:rsid w:val="006B6A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6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AC6"/>
    <w:rPr>
      <w:rFonts w:cs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B6AC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B6AC6"/>
    <w:rPr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6AC6"/>
    <w:rPr>
      <w:rFonts w:cs="Times New Roman"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6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6AC6"/>
    <w:rPr>
      <w:rFonts w:cs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AC6"/>
    <w:pPr>
      <w:spacing w:after="0" w:line="240" w:lineRule="auto"/>
    </w:pPr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AC6"/>
    <w:rPr>
      <w:rFonts w:ascii="Lucida Grande" w:hAnsi="Lucida Grande" w:cs="Times New Roman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C546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02F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2F5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02F56"/>
    <w:rPr>
      <w:rFonts w:cs="Times New Roman"/>
      <w:vertAlign w:val="superscript"/>
    </w:rPr>
  </w:style>
  <w:style w:type="table" w:customStyle="1" w:styleId="LightShading1">
    <w:name w:val="Light Shading1"/>
    <w:uiPriority w:val="99"/>
    <w:rsid w:val="008641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A4257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F5DB2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0C6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347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7C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20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0DA1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locked/>
    <w:rsid w:val="008415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61F2"/>
    <w:rPr>
      <w:lang w:eastAsia="en-US"/>
    </w:rPr>
  </w:style>
  <w:style w:type="character" w:customStyle="1" w:styleId="highwire-cite-metadata-pages">
    <w:name w:val="highwire-cite-metadata-pages"/>
    <w:basedOn w:val="DefaultParagraphFont"/>
    <w:rsid w:val="00AA64C1"/>
  </w:style>
  <w:style w:type="character" w:customStyle="1" w:styleId="highwire-cite-metadata-doi">
    <w:name w:val="highwire-cite-metadata-doi"/>
    <w:basedOn w:val="DefaultParagraphFont"/>
    <w:rsid w:val="00AA64C1"/>
  </w:style>
  <w:style w:type="character" w:customStyle="1" w:styleId="doilabel">
    <w:name w:val="doi_label"/>
    <w:basedOn w:val="DefaultParagraphFont"/>
    <w:rsid w:val="00AA64C1"/>
  </w:style>
  <w:style w:type="paragraph" w:styleId="EndnoteText">
    <w:name w:val="endnote text"/>
    <w:basedOn w:val="Normal"/>
    <w:link w:val="EndnoteTextChar"/>
    <w:uiPriority w:val="99"/>
    <w:semiHidden/>
    <w:unhideWhenUsed/>
    <w:rsid w:val="00C60B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B43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60B4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6F1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52FF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306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306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locked/>
    <w:rsid w:val="0033068C"/>
    <w:rPr>
      <w:i/>
      <w:iCs/>
    </w:rPr>
  </w:style>
  <w:style w:type="paragraph" w:customStyle="1" w:styleId="Default">
    <w:name w:val="Default"/>
    <w:rsid w:val="00893A38"/>
    <w:pPr>
      <w:autoSpaceDE w:val="0"/>
      <w:autoSpaceDN w:val="0"/>
      <w:adjustRightInd w:val="0"/>
    </w:pPr>
    <w:rPr>
      <w:rFonts w:ascii="Shaker 2 Lancet" w:hAnsi="Shaker 2 Lancet" w:cs="Shaker 2 Lancet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40A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559FC"/>
  </w:style>
  <w:style w:type="character" w:styleId="UnresolvedMention">
    <w:name w:val="Unresolved Mention"/>
    <w:basedOn w:val="DefaultParagraphFont"/>
    <w:uiPriority w:val="99"/>
    <w:semiHidden/>
    <w:unhideWhenUsed/>
    <w:rsid w:val="00EB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888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57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683156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9332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60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.raw3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2395-9BC5-486F-BE35-ECB9BF6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3594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E10 – Can Stroke patients relearn movements</vt:lpstr>
    </vt:vector>
  </TitlesOfParts>
  <Company>Hewlett-Packard</Company>
  <LinksUpToDate>false</LinksUpToDate>
  <CharactersWithSpaces>25686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E10 – Can Stroke patients relearn movements</dc:title>
  <dc:creator>psrr</dc:creator>
  <cp:lastModifiedBy>Jon Rees</cp:lastModifiedBy>
  <cp:revision>3</cp:revision>
  <cp:lastPrinted>2021-03-20T10:55:00Z</cp:lastPrinted>
  <dcterms:created xsi:type="dcterms:W3CDTF">2023-02-01T00:49:00Z</dcterms:created>
  <dcterms:modified xsi:type="dcterms:W3CDTF">2023-03-03T08:47:00Z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